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0"/>
      </w:tblGrid>
      <w:tr w14:paraId="7CC5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700" w:type="dxa"/>
            <w:tcBorders>
              <w:top w:val="nil"/>
              <w:left w:val="nil"/>
              <w:bottom w:val="nil"/>
              <w:right w:val="nil"/>
            </w:tcBorders>
          </w:tcPr>
          <w:p w14:paraId="69135391">
            <w:pPr>
              <w:keepNext w:val="0"/>
              <w:keepLines w:val="0"/>
              <w:pageBreakBefore w:val="0"/>
              <w:widowControl/>
              <w:suppressLineNumbers w:val="0"/>
              <w:kinsoku/>
              <w:wordWrap/>
              <w:overflowPunct/>
              <w:topLinePunct w:val="0"/>
              <w:autoSpaceDE/>
              <w:autoSpaceDN/>
              <w:bidi w:val="0"/>
              <w:adjustRightInd/>
              <w:snapToGrid/>
              <w:spacing w:line="1200" w:lineRule="exact"/>
              <w:jc w:val="distribute"/>
              <w:textAlignment w:val="auto"/>
              <w:rPr>
                <w:rFonts w:hint="eastAsia" w:ascii="方正小标宋_GBK" w:hAnsi="方正小标宋_GBK" w:eastAsia="方正小标宋_GBK" w:cs="方正小标宋_GBK"/>
                <w:color w:val="FF0000"/>
                <w:w w:val="80"/>
                <w:kern w:val="0"/>
                <w:sz w:val="84"/>
                <w:szCs w:val="84"/>
                <w:vertAlign w:val="baseline"/>
                <w:lang w:val="en-US" w:eastAsia="zh-CN" w:bidi="ar"/>
              </w:rPr>
            </w:pPr>
            <w:r>
              <w:rPr>
                <w:rFonts w:hint="eastAsia" w:ascii="方正小标宋_GBK" w:hAnsi="方正小标宋_GBK" w:eastAsia="方正小标宋_GBK" w:cs="方正小标宋_GBK"/>
                <w:color w:val="FF0000"/>
                <w:w w:val="80"/>
                <w:kern w:val="0"/>
                <w:sz w:val="84"/>
                <w:szCs w:val="84"/>
                <w:lang w:val="en-US" w:eastAsia="zh-CN" w:bidi="ar"/>
              </w:rPr>
              <w:t>宿迁市市场监督管理局</w:t>
            </w:r>
          </w:p>
        </w:tc>
      </w:tr>
      <w:tr w14:paraId="7B03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700" w:type="dxa"/>
            <w:tcBorders>
              <w:top w:val="nil"/>
              <w:left w:val="nil"/>
              <w:bottom w:val="nil"/>
              <w:right w:val="nil"/>
            </w:tcBorders>
          </w:tcPr>
          <w:p w14:paraId="71625F35">
            <w:pPr>
              <w:keepNext w:val="0"/>
              <w:keepLines w:val="0"/>
              <w:pageBreakBefore w:val="0"/>
              <w:widowControl/>
              <w:suppressLineNumbers w:val="0"/>
              <w:kinsoku/>
              <w:wordWrap/>
              <w:overflowPunct/>
              <w:topLinePunct w:val="0"/>
              <w:autoSpaceDE/>
              <w:autoSpaceDN/>
              <w:bidi w:val="0"/>
              <w:adjustRightInd/>
              <w:snapToGrid/>
              <w:spacing w:line="1200" w:lineRule="exact"/>
              <w:jc w:val="distribute"/>
              <w:textAlignment w:val="auto"/>
              <w:rPr>
                <w:rFonts w:hint="eastAsia" w:ascii="方正小标宋_GBK" w:hAnsi="方正小标宋_GBK" w:eastAsia="方正小标宋_GBK" w:cs="方正小标宋_GBK"/>
                <w:color w:val="FF0000"/>
                <w:w w:val="80"/>
                <w:kern w:val="0"/>
                <w:sz w:val="84"/>
                <w:szCs w:val="84"/>
                <w:vertAlign w:val="baseline"/>
                <w:lang w:val="en-US" w:eastAsia="zh-CN" w:bidi="ar"/>
              </w:rPr>
            </w:pPr>
            <w:r>
              <w:rPr>
                <w:sz w:val="84"/>
              </w:rP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678815</wp:posOffset>
                      </wp:positionV>
                      <wp:extent cx="1123315" cy="1009015"/>
                      <wp:effectExtent l="0" t="0" r="635" b="635"/>
                      <wp:wrapNone/>
                      <wp:docPr id="2" name="文本框 2"/>
                      <wp:cNvGraphicFramePr/>
                      <a:graphic xmlns:a="http://schemas.openxmlformats.org/drawingml/2006/main">
                        <a:graphicData uri="http://schemas.microsoft.com/office/word/2010/wordprocessingShape">
                          <wps:wsp>
                            <wps:cNvSpPr txBox="1"/>
                            <wps:spPr>
                              <a:xfrm>
                                <a:off x="5799455" y="2877820"/>
                                <a:ext cx="1123315" cy="1009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D8BF35">
                                  <w:r>
                                    <w:rPr>
                                      <w:rFonts w:hint="eastAsia" w:ascii="方正小标宋_GBK" w:hAnsi="方正小标宋_GBK" w:eastAsia="方正小标宋_GBK" w:cs="方正小标宋_GBK"/>
                                      <w:color w:val="FF0000"/>
                                      <w:w w:val="80"/>
                                      <w:kern w:val="0"/>
                                      <w:sz w:val="84"/>
                                      <w:szCs w:val="84"/>
                                      <w:lang w:val="en-US" w:eastAsia="zh-CN" w:bidi="ar"/>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1pt;margin-top:53.45pt;height:79.45pt;width:88.45pt;z-index:251659264;mso-width-relative:page;mso-height-relative:page;" fillcolor="#FFFFFF [3201]" filled="t" stroked="f" coordsize="21600,21600" o:gfxdata="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Ful&#10;StcAAAALAQAADwAAAAAAAAABACAAAAAiAAAAZHJzL2Rvd25yZXYueG1sUEsBAhQAFAAAAAgAh07i&#10;QMN3AxZcAgAAnAQAAA4AAAAAAAAAAQAgAAAAJgEAAGRycy9lMm9Eb2MueG1sUEsFBgAAAAAGAAYA&#10;WQEAAPQFAAAAAA==&#10;">
                      <v:fill on="t" focussize="0,0"/>
                      <v:stroke on="f" weight="0.5pt"/>
                      <v:imagedata o:title=""/>
                      <o:lock v:ext="edit" aspectratio="f"/>
                      <v:textbox>
                        <w:txbxContent>
                          <w:p w14:paraId="30D8BF35">
                            <w:r>
                              <w:rPr>
                                <w:rFonts w:hint="eastAsia" w:ascii="方正小标宋_GBK" w:hAnsi="方正小标宋_GBK" w:eastAsia="方正小标宋_GBK" w:cs="方正小标宋_GBK"/>
                                <w:color w:val="FF0000"/>
                                <w:w w:val="80"/>
                                <w:kern w:val="0"/>
                                <w:sz w:val="84"/>
                                <w:szCs w:val="84"/>
                                <w:lang w:val="en-US" w:eastAsia="zh-CN" w:bidi="ar"/>
                              </w:rPr>
                              <w:t>文件</w:t>
                            </w:r>
                          </w:p>
                        </w:txbxContent>
                      </v:textbox>
                    </v:shape>
                  </w:pict>
                </mc:Fallback>
              </mc:AlternateContent>
            </w:r>
            <w:r>
              <w:rPr>
                <w:rFonts w:hint="eastAsia" w:ascii="方正小标宋_GBK" w:hAnsi="方正小标宋_GBK" w:eastAsia="方正小标宋_GBK" w:cs="方正小标宋_GBK"/>
                <w:color w:val="FF0000"/>
                <w:w w:val="80"/>
                <w:kern w:val="0"/>
                <w:sz w:val="84"/>
                <w:szCs w:val="84"/>
                <w:lang w:val="en-US" w:eastAsia="zh-CN" w:bidi="ar"/>
              </w:rPr>
              <w:t>宿迁市教育局</w:t>
            </w:r>
          </w:p>
        </w:tc>
      </w:tr>
      <w:tr w14:paraId="79596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700" w:type="dxa"/>
            <w:tcBorders>
              <w:top w:val="nil"/>
              <w:left w:val="nil"/>
              <w:bottom w:val="nil"/>
              <w:right w:val="nil"/>
            </w:tcBorders>
          </w:tcPr>
          <w:p w14:paraId="123DB33B">
            <w:pPr>
              <w:keepNext w:val="0"/>
              <w:keepLines w:val="0"/>
              <w:pageBreakBefore w:val="0"/>
              <w:widowControl/>
              <w:suppressLineNumbers w:val="0"/>
              <w:kinsoku/>
              <w:wordWrap/>
              <w:overflowPunct/>
              <w:topLinePunct w:val="0"/>
              <w:autoSpaceDE/>
              <w:autoSpaceDN/>
              <w:bidi w:val="0"/>
              <w:adjustRightInd/>
              <w:snapToGrid/>
              <w:spacing w:line="1200" w:lineRule="exact"/>
              <w:jc w:val="distribute"/>
              <w:textAlignment w:val="auto"/>
              <w:rPr>
                <w:rFonts w:hint="eastAsia" w:ascii="方正小标宋_GBK" w:hAnsi="方正小标宋_GBK" w:eastAsia="方正小标宋_GBK" w:cs="方正小标宋_GBK"/>
                <w:color w:val="FF0000"/>
                <w:w w:val="80"/>
                <w:kern w:val="0"/>
                <w:sz w:val="84"/>
                <w:szCs w:val="84"/>
                <w:vertAlign w:val="baseline"/>
                <w:lang w:val="en-US" w:eastAsia="zh-CN" w:bidi="ar"/>
              </w:rPr>
            </w:pPr>
            <w:r>
              <w:rPr>
                <w:rFonts w:hint="eastAsia" w:ascii="方正小标宋_GBK" w:hAnsi="方正小标宋_GBK" w:eastAsia="方正小标宋_GBK" w:cs="方正小标宋_GBK"/>
                <w:color w:val="FF0000"/>
                <w:w w:val="80"/>
                <w:kern w:val="0"/>
                <w:sz w:val="84"/>
                <w:szCs w:val="84"/>
                <w:lang w:val="en-US" w:eastAsia="zh-CN" w:bidi="ar"/>
              </w:rPr>
              <w:t>宿迁市民政局</w:t>
            </w:r>
          </w:p>
        </w:tc>
      </w:tr>
      <w:tr w14:paraId="0EA6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700" w:type="dxa"/>
            <w:tcBorders>
              <w:top w:val="nil"/>
              <w:left w:val="nil"/>
              <w:bottom w:val="nil"/>
              <w:right w:val="nil"/>
            </w:tcBorders>
          </w:tcPr>
          <w:p w14:paraId="45D3C693">
            <w:pPr>
              <w:keepNext w:val="0"/>
              <w:keepLines w:val="0"/>
              <w:pageBreakBefore w:val="0"/>
              <w:widowControl/>
              <w:suppressLineNumbers w:val="0"/>
              <w:kinsoku/>
              <w:wordWrap/>
              <w:overflowPunct/>
              <w:topLinePunct w:val="0"/>
              <w:autoSpaceDE/>
              <w:autoSpaceDN/>
              <w:bidi w:val="0"/>
              <w:adjustRightInd/>
              <w:snapToGrid/>
              <w:spacing w:line="1200" w:lineRule="exact"/>
              <w:jc w:val="distribute"/>
              <w:textAlignment w:val="auto"/>
              <w:rPr>
                <w:rFonts w:hint="eastAsia" w:ascii="方正小标宋_GBK" w:hAnsi="方正小标宋_GBK" w:eastAsia="方正小标宋_GBK" w:cs="方正小标宋_GBK"/>
                <w:color w:val="FF0000"/>
                <w:w w:val="80"/>
                <w:kern w:val="0"/>
                <w:sz w:val="84"/>
                <w:szCs w:val="84"/>
                <w:vertAlign w:val="baseline"/>
                <w:lang w:val="en-US" w:eastAsia="zh-CN" w:bidi="ar"/>
              </w:rPr>
            </w:pPr>
            <w:r>
              <w:rPr>
                <w:rFonts w:hint="eastAsia" w:ascii="方正小标宋_GBK" w:hAnsi="方正小标宋_GBK" w:eastAsia="方正小标宋_GBK" w:cs="方正小标宋_GBK"/>
                <w:color w:val="FF0000"/>
                <w:w w:val="80"/>
                <w:kern w:val="0"/>
                <w:sz w:val="84"/>
                <w:szCs w:val="84"/>
                <w:lang w:val="en-US" w:eastAsia="zh-CN" w:bidi="ar"/>
              </w:rPr>
              <w:t>宿迁市卫生健康委员会</w:t>
            </w:r>
          </w:p>
        </w:tc>
      </w:tr>
      <w:tr w14:paraId="3525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700" w:type="dxa"/>
            <w:tcBorders>
              <w:top w:val="nil"/>
              <w:left w:val="nil"/>
              <w:bottom w:val="nil"/>
              <w:right w:val="nil"/>
            </w:tcBorders>
          </w:tcPr>
          <w:p w14:paraId="7A15B28E">
            <w:pPr>
              <w:keepNext w:val="0"/>
              <w:keepLines w:val="0"/>
              <w:pageBreakBefore w:val="0"/>
              <w:widowControl/>
              <w:suppressLineNumbers w:val="0"/>
              <w:kinsoku/>
              <w:wordWrap/>
              <w:overflowPunct/>
              <w:topLinePunct w:val="0"/>
              <w:autoSpaceDE/>
              <w:autoSpaceDN/>
              <w:bidi w:val="0"/>
              <w:adjustRightInd/>
              <w:snapToGrid/>
              <w:spacing w:line="1200" w:lineRule="exact"/>
              <w:jc w:val="distribute"/>
              <w:textAlignment w:val="auto"/>
              <w:rPr>
                <w:rFonts w:hint="eastAsia" w:ascii="方正小标宋_GBK" w:hAnsi="方正小标宋_GBK" w:eastAsia="方正小标宋_GBK" w:cs="方正小标宋_GBK"/>
                <w:color w:val="FF0000"/>
                <w:w w:val="80"/>
                <w:kern w:val="0"/>
                <w:sz w:val="84"/>
                <w:szCs w:val="84"/>
                <w:vertAlign w:val="baseline"/>
                <w:lang w:val="en-US" w:eastAsia="zh-CN" w:bidi="ar"/>
              </w:rPr>
            </w:pPr>
            <w:r>
              <w:rPr>
                <w:rFonts w:hint="eastAsia" w:ascii="方正小标宋_GBK" w:hAnsi="方正小标宋_GBK" w:eastAsia="方正小标宋_GBK" w:cs="方正小标宋_GBK"/>
                <w:color w:val="FF0000"/>
                <w:w w:val="80"/>
                <w:kern w:val="0"/>
                <w:sz w:val="84"/>
                <w:szCs w:val="84"/>
                <w:lang w:val="en-US" w:eastAsia="zh-CN" w:bidi="ar"/>
              </w:rPr>
              <w:t>宿迁市医疗保障局</w:t>
            </w:r>
          </w:p>
        </w:tc>
      </w:tr>
    </w:tbl>
    <w:p w14:paraId="4980C94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14:paraId="06A2EB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14:paraId="1E33C379">
      <w:pPr>
        <w:keepNext w:val="0"/>
        <w:keepLines w:val="0"/>
        <w:pageBreakBefore w:val="0"/>
        <w:widowControl w:val="0"/>
        <w:kinsoku/>
        <w:wordWrap/>
        <w:overflowPunct/>
        <w:topLinePunct w:val="0"/>
        <w:autoSpaceDE/>
        <w:autoSpaceDN/>
        <w:bidi w:val="0"/>
        <w:adjustRightInd/>
        <w:snapToGrid/>
        <w:jc w:val="center"/>
        <w:textAlignment w:val="auto"/>
        <w:rPr>
          <w:rFonts w:eastAsia="方正仿宋简体"/>
          <w:sz w:val="32"/>
          <w:szCs w:val="32"/>
        </w:rPr>
      </w:pPr>
      <w:r>
        <w:rPr>
          <w:rFonts w:ascii="Times New Roman" w:hAnsi="Times New Roman" w:eastAsia="方正仿宋_GBK" w:cs="Times New Roman"/>
          <w:sz w:val="32"/>
          <w:szCs w:val="32"/>
        </w:rPr>
        <w:t>宿市监〔202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号</w:t>
      </w:r>
    </w:p>
    <w:p w14:paraId="7C06513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sz w:val="44"/>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185420</wp:posOffset>
                </wp:positionV>
                <wp:extent cx="5772150" cy="0"/>
                <wp:effectExtent l="0" t="10795" r="0" b="17780"/>
                <wp:wrapNone/>
                <wp:docPr id="3" name="直接连接符 3"/>
                <wp:cNvGraphicFramePr/>
                <a:graphic xmlns:a="http://schemas.openxmlformats.org/drawingml/2006/main">
                  <a:graphicData uri="http://schemas.microsoft.com/office/word/2010/wordprocessingShape">
                    <wps:wsp>
                      <wps:cNvCnPr/>
                      <wps:spPr>
                        <a:xfrm>
                          <a:off x="855980" y="6485890"/>
                          <a:ext cx="5772150" cy="0"/>
                        </a:xfrm>
                        <a:prstGeom prst="line">
                          <a:avLst/>
                        </a:prstGeom>
                        <a:ln w="2222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15pt;margin-top:14.6pt;height:0pt;width:454.5pt;z-index:251660288;mso-width-relative:page;mso-height-relative:page;" filled="f" stroked="t" coordsize="21600,21600" o:gfxdata="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EcWjdcAAAAJAQAADwAAAAAAAAABACAAAAAiAAAAZHJzL2Rvd25yZXYueG1sUEsBAhQA&#10;FAAAAAgAh07iQPTjRPbzAQAAvQMAAA4AAAAAAAAAAQAgAAAAJgEAAGRycy9lMm9Eb2MueG1sUEsF&#10;BgAAAAAGAAYAWQEAAIsFAAAAAA==&#10;">
                <v:fill on="f" focussize="0,0"/>
                <v:stroke weight="1.75pt" color="#FF0000 [3204]" miterlimit="8" joinstyle="miter"/>
                <v:imagedata o:title=""/>
                <o:lock v:ext="edit" aspectratio="f"/>
              </v:line>
            </w:pict>
          </mc:Fallback>
        </mc:AlternateContent>
      </w:r>
    </w:p>
    <w:p w14:paraId="039A5DF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kern w:val="0"/>
          <w:sz w:val="44"/>
          <w:szCs w:val="44"/>
          <w:lang w:val="en-US" w:eastAsia="zh-CN" w:bidi="ar"/>
        </w:rPr>
      </w:pPr>
      <w:r>
        <w:rPr>
          <w:rFonts w:hint="eastAsia" w:ascii="方正小标宋_GBK" w:hAnsi="方正小标宋_GBK" w:eastAsia="方正小标宋_GBK" w:cs="方正小标宋_GBK"/>
          <w:color w:val="000000"/>
          <w:spacing w:val="-6"/>
          <w:kern w:val="0"/>
          <w:sz w:val="42"/>
          <w:szCs w:val="42"/>
          <w:lang w:val="en-US" w:eastAsia="zh-CN" w:bidi="ar"/>
        </w:rPr>
        <w:t>关于印发《宿迁市规范特殊医学用途配方食品管理促进产业高质量发展的实施方案》的通知</w:t>
      </w:r>
    </w:p>
    <w:p w14:paraId="03D0207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方正仿宋_GBK" w:hAnsi="方正仿宋_GBK" w:eastAsia="方正仿宋_GBK" w:cs="方正仿宋_GBK"/>
          <w:color w:val="000000"/>
          <w:kern w:val="0"/>
          <w:sz w:val="32"/>
          <w:szCs w:val="32"/>
          <w:lang w:val="en-US" w:eastAsia="zh-CN" w:bidi="ar"/>
        </w:rPr>
      </w:pPr>
    </w:p>
    <w:p w14:paraId="0A116C6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各县（区）市场监管局、教育局、民政局、卫生健康局、医保局，市各开发区、新区、园区相关职能部门： </w:t>
      </w:r>
    </w:p>
    <w:p w14:paraId="0192F7A6">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省市场监管局等六部门《关于进一步规范特殊医学用途配方食品管理促进产业高质量发展的指导意见》（苏市监〔2024〕247号）文件精神，结合我市实际，市市场监管局、教育局、民政局、卫生健康委、医保局五部门联合制定了《宿迁市规范特殊医学用途配方食品管理促进产业高质量发展的实施方案》，现印发给你们，请结合实际贯彻执行。</w:t>
      </w:r>
    </w:p>
    <w:p w14:paraId="26CD0A7E">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6439630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14:paraId="6648013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宿迁市市场监督管理局           宿迁市教育局</w:t>
      </w:r>
    </w:p>
    <w:p w14:paraId="0825BFF4">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27CE4A3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633F9F7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宿迁市民政局               宿迁市卫生健康委员会</w:t>
      </w:r>
    </w:p>
    <w:p w14:paraId="376BC95C">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3F2B75F2">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1F62CE4D">
      <w:pPr>
        <w:keepNext w:val="0"/>
        <w:keepLines w:val="0"/>
        <w:pageBreakBefore w:val="0"/>
        <w:widowControl/>
        <w:suppressLineNumbers w:val="0"/>
        <w:kinsoku/>
        <w:wordWrap/>
        <w:overflowPunct/>
        <w:topLinePunct w:val="0"/>
        <w:autoSpaceDE/>
        <w:autoSpaceDN/>
        <w:bidi w:val="0"/>
        <w:adjustRightInd/>
        <w:snapToGrid/>
        <w:spacing w:line="578" w:lineRule="exact"/>
        <w:ind w:firstLine="5120" w:firstLineChars="16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宿迁市医疗保障局</w:t>
      </w:r>
    </w:p>
    <w:p w14:paraId="6AB0B1BF">
      <w:pPr>
        <w:keepNext w:val="0"/>
        <w:keepLines w:val="0"/>
        <w:pageBreakBefore w:val="0"/>
        <w:widowControl/>
        <w:suppressLineNumbers w:val="0"/>
        <w:kinsoku/>
        <w:wordWrap/>
        <w:overflowPunct/>
        <w:topLinePunct w:val="0"/>
        <w:autoSpaceDE/>
        <w:autoSpaceDN/>
        <w:bidi w:val="0"/>
        <w:adjustRightInd/>
        <w:snapToGrid/>
        <w:spacing w:line="578" w:lineRule="exact"/>
        <w:ind w:firstLine="5120" w:firstLineChars="16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2025年7月10日</w:t>
      </w:r>
    </w:p>
    <w:p w14:paraId="627676F7">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    （此件公开发布）</w:t>
      </w:r>
    </w:p>
    <w:p w14:paraId="3C3FF820">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p>
    <w:p w14:paraId="56CBBAC5">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p>
    <w:p w14:paraId="7E85BAFA">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bookmarkStart w:id="0" w:name="_GoBack"/>
      <w:bookmarkEnd w:id="0"/>
    </w:p>
    <w:p w14:paraId="44F87CCE">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p>
    <w:p w14:paraId="757129C2">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p>
    <w:p w14:paraId="785B0936">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p>
    <w:p w14:paraId="0B9AF840">
      <w:pPr>
        <w:keepNext w:val="0"/>
        <w:keepLines w:val="0"/>
        <w:pageBreakBefore w:val="0"/>
        <w:widowControl/>
        <w:suppressLineNumbers w:val="0"/>
        <w:kinsoku/>
        <w:wordWrap/>
        <w:overflowPunct/>
        <w:topLinePunct w:val="0"/>
        <w:autoSpaceDE/>
        <w:autoSpaceDN/>
        <w:bidi w:val="0"/>
        <w:adjustRightInd/>
        <w:snapToGrid/>
        <w:spacing w:line="578" w:lineRule="exact"/>
        <w:ind w:firstLine="4800" w:firstLineChars="1500"/>
        <w:jc w:val="left"/>
        <w:textAlignment w:val="auto"/>
        <w:rPr>
          <w:rFonts w:hint="eastAsia" w:ascii="方正仿宋_GBK" w:hAnsi="方正仿宋_GBK" w:eastAsia="方正仿宋_GBK" w:cs="方正仿宋_GBK"/>
          <w:color w:val="000000"/>
          <w:kern w:val="0"/>
          <w:sz w:val="32"/>
          <w:szCs w:val="32"/>
          <w:lang w:val="en-US" w:eastAsia="zh-CN" w:bidi="ar"/>
        </w:rPr>
      </w:pPr>
    </w:p>
    <w:p w14:paraId="758C0C3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宿迁市规范特殊医学用途配方食品管理</w:t>
      </w:r>
    </w:p>
    <w:p w14:paraId="6F445D0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促进产业高质量发展的实施方案</w:t>
      </w:r>
    </w:p>
    <w:p w14:paraId="3F8365F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14:paraId="2A71CE55">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为贯彻落实《关于进一步规范特殊医学用途配方食品管理促进产业高质量发展的指导意见》（苏市监〔2024〕247号）文件精神，结合我市实际，特制定实施方案，加强我市特殊医学用途配方食品</w:t>
      </w:r>
      <w:r>
        <w:rPr>
          <w:rFonts w:ascii="方正仿宋_GBK" w:hAnsi="方正仿宋_GBK" w:eastAsia="方正仿宋_GBK" w:cs="方正仿宋_GBK"/>
          <w:color w:val="000000"/>
          <w:kern w:val="0"/>
          <w:sz w:val="32"/>
          <w:szCs w:val="32"/>
          <w:lang w:val="en-US" w:eastAsia="zh-CN" w:bidi="ar"/>
        </w:rPr>
        <w:t>（以下简称“特医</w:t>
      </w:r>
      <w:r>
        <w:rPr>
          <w:rFonts w:hint="eastAsia" w:ascii="方正仿宋_GBK" w:hAnsi="方正仿宋_GBK" w:eastAsia="方正仿宋_GBK" w:cs="方正仿宋_GBK"/>
          <w:color w:val="000000"/>
          <w:kern w:val="0"/>
          <w:sz w:val="32"/>
          <w:szCs w:val="32"/>
          <w:lang w:val="en-US" w:eastAsia="zh-CN" w:bidi="ar"/>
        </w:rPr>
        <w:t>食品</w:t>
      </w:r>
      <w:r>
        <w:rPr>
          <w:rFonts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管理，促进产业高质量发展。</w:t>
      </w:r>
    </w:p>
    <w:p w14:paraId="1C54C53D">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一、总体目标</w:t>
      </w:r>
    </w:p>
    <w:p w14:paraId="33B1F0A8">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    通过完善特医食品管理体系、健全价费形成机制、规范监管服务等措施，提升特医食品在医疗机构、养老机构等场景的应用水平，满足人民群众对营养健康的需求，助力宿迁大健康产业发展。</w:t>
      </w:r>
    </w:p>
    <w:p w14:paraId="7B75AB5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二、主要任务及分工</w:t>
      </w:r>
    </w:p>
    <w:p w14:paraId="221D6B73">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（一）完善特医食品管理体系。</w:t>
      </w:r>
      <w:r>
        <w:rPr>
          <w:rFonts w:ascii="方正仿宋_GBK" w:hAnsi="方正仿宋_GBK" w:eastAsia="方正仿宋_GBK" w:cs="方正仿宋_GBK"/>
          <w:color w:val="000000"/>
          <w:kern w:val="0"/>
          <w:sz w:val="32"/>
          <w:szCs w:val="32"/>
          <w:lang w:val="en-US" w:eastAsia="zh-CN" w:bidi="ar"/>
        </w:rPr>
        <w:t>协同指导</w:t>
      </w:r>
      <w:r>
        <w:rPr>
          <w:rFonts w:hint="eastAsia" w:ascii="方正仿宋_GBK" w:hAnsi="方正仿宋_GBK" w:eastAsia="方正仿宋_GBK" w:cs="方正仿宋_GBK"/>
          <w:color w:val="000000"/>
          <w:kern w:val="0"/>
          <w:sz w:val="32"/>
          <w:szCs w:val="32"/>
          <w:lang w:val="en-US" w:eastAsia="zh-CN" w:bidi="ar"/>
        </w:rPr>
        <w:t>本地区医疗机构、养老机构、社区卫生服务站等主体</w:t>
      </w:r>
      <w:r>
        <w:rPr>
          <w:rFonts w:ascii="方正仿宋_GBK" w:hAnsi="方正仿宋_GBK" w:eastAsia="方正仿宋_GBK" w:cs="方正仿宋_GBK"/>
          <w:color w:val="000000"/>
          <w:kern w:val="0"/>
          <w:sz w:val="32"/>
          <w:szCs w:val="32"/>
          <w:lang w:val="en-US" w:eastAsia="zh-CN" w:bidi="ar"/>
        </w:rPr>
        <w:t>特医</w:t>
      </w:r>
      <w:r>
        <w:rPr>
          <w:rFonts w:hint="eastAsia" w:ascii="方正仿宋_GBK" w:hAnsi="方正仿宋_GBK" w:eastAsia="方正仿宋_GBK" w:cs="方正仿宋_GBK"/>
          <w:color w:val="000000"/>
          <w:kern w:val="0"/>
          <w:sz w:val="32"/>
          <w:szCs w:val="32"/>
          <w:lang w:val="en-US" w:eastAsia="zh-CN" w:bidi="ar"/>
        </w:rPr>
        <w:t>食品规范化管理工作，研究会商特医食品规范化管理中存在的问题和困难，及时制定有针对性的解决措施。</w:t>
      </w:r>
      <w:r>
        <w:rPr>
          <w:rFonts w:hint="eastAsia" w:ascii="方正楷体_GBK" w:hAnsi="方正楷体_GBK" w:eastAsia="方正楷体_GBK" w:cs="方正楷体_GBK"/>
          <w:b w:val="0"/>
          <w:bCs w:val="0"/>
          <w:color w:val="000000"/>
          <w:kern w:val="0"/>
          <w:sz w:val="32"/>
          <w:szCs w:val="32"/>
          <w:lang w:val="en-US" w:eastAsia="zh-CN" w:bidi="ar"/>
        </w:rPr>
        <w:t>（责任单位：市市场监管局、市民政局、市卫生健康委、市医保局）</w:t>
      </w:r>
    </w:p>
    <w:p w14:paraId="205DB7C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（二）加强特医食品监管与服务。</w:t>
      </w:r>
      <w:r>
        <w:rPr>
          <w:rFonts w:hint="eastAsia" w:ascii="方正仿宋_GBK" w:hAnsi="方正仿宋_GBK" w:eastAsia="方正仿宋_GBK" w:cs="方正仿宋_GBK"/>
          <w:color w:val="000000"/>
          <w:kern w:val="0"/>
          <w:sz w:val="32"/>
          <w:szCs w:val="32"/>
          <w:lang w:val="en-US" w:eastAsia="zh-CN" w:bidi="ar"/>
        </w:rPr>
        <w:t>加强分工协作，卫生健康、民政部门要根据各自的职责加强医疗机构、养老机构特医食品经营使用管理指导。</w:t>
      </w:r>
      <w:r>
        <w:rPr>
          <w:rFonts w:hint="eastAsia" w:ascii="方正楷体_GBK" w:hAnsi="方正楷体_GBK" w:eastAsia="方正楷体_GBK" w:cs="方正楷体_GBK"/>
          <w:b w:val="0"/>
          <w:bCs w:val="0"/>
          <w:color w:val="000000"/>
          <w:kern w:val="0"/>
          <w:sz w:val="32"/>
          <w:szCs w:val="32"/>
          <w:lang w:val="en-US" w:eastAsia="zh-CN" w:bidi="ar"/>
        </w:rPr>
        <w:t>（责任单位：市卫生健康委、市民政局）</w:t>
      </w:r>
      <w:r>
        <w:rPr>
          <w:rFonts w:hint="eastAsia" w:ascii="方正仿宋_GBK" w:hAnsi="方正仿宋_GBK" w:eastAsia="方正仿宋_GBK" w:cs="方正仿宋_GBK"/>
          <w:b w:val="0"/>
          <w:bCs w:val="0"/>
          <w:color w:val="000000"/>
          <w:kern w:val="0"/>
          <w:sz w:val="32"/>
          <w:szCs w:val="32"/>
          <w:lang w:val="en-US" w:eastAsia="zh-CN" w:bidi="ar"/>
        </w:rPr>
        <w:t>各县区</w:t>
      </w:r>
      <w:r>
        <w:rPr>
          <w:rFonts w:hint="eastAsia" w:ascii="方正仿宋_GBK" w:hAnsi="方正仿宋_GBK" w:eastAsia="方正仿宋_GBK" w:cs="方正仿宋_GBK"/>
          <w:color w:val="000000"/>
          <w:kern w:val="0"/>
          <w:sz w:val="32"/>
          <w:szCs w:val="32"/>
          <w:lang w:val="en-US" w:eastAsia="zh-CN" w:bidi="ar"/>
        </w:rPr>
        <w:t>市场监管部门要推动以医疗机构为主体申请食品经营许可或备案，畅通医疗机构申请食品经营许可或备案的途径。</w:t>
      </w:r>
      <w:r>
        <w:rPr>
          <w:rFonts w:hint="eastAsia" w:ascii="方正仿宋_GBK" w:hAnsi="方正仿宋_GBK" w:eastAsia="方正仿宋_GBK" w:cs="方正仿宋_GBK"/>
          <w:b w:val="0"/>
          <w:bCs w:val="0"/>
          <w:color w:val="000000"/>
          <w:kern w:val="0"/>
          <w:sz w:val="32"/>
          <w:szCs w:val="32"/>
          <w:lang w:val="en-US" w:eastAsia="zh-CN" w:bidi="ar"/>
        </w:rPr>
        <w:t>加强</w:t>
      </w:r>
      <w:r>
        <w:rPr>
          <w:rFonts w:hint="eastAsia" w:ascii="方正仿宋_GBK" w:hAnsi="方正仿宋_GBK" w:eastAsia="方正仿宋_GBK" w:cs="方正仿宋_GBK"/>
          <w:color w:val="000000"/>
          <w:kern w:val="0"/>
          <w:sz w:val="32"/>
          <w:szCs w:val="32"/>
          <w:lang w:val="en-US" w:eastAsia="zh-CN" w:bidi="ar"/>
        </w:rPr>
        <w:t>特医食品经营管理、临床使用和规范收费的联合指导，督促主体责任落实。</w:t>
      </w:r>
      <w:r>
        <w:rPr>
          <w:rFonts w:hint="eastAsia" w:ascii="方正楷体_GBK" w:hAnsi="方正楷体_GBK" w:eastAsia="方正楷体_GBK" w:cs="方正楷体_GBK"/>
          <w:b w:val="0"/>
          <w:bCs w:val="0"/>
          <w:color w:val="000000"/>
          <w:kern w:val="0"/>
          <w:sz w:val="32"/>
          <w:szCs w:val="32"/>
          <w:lang w:val="en-US" w:eastAsia="zh-CN" w:bidi="ar"/>
        </w:rPr>
        <w:t>（责任单位：市市场监管局、市卫生健康委、市医保局）</w:t>
      </w:r>
    </w:p>
    <w:p w14:paraId="0F6F2107">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方正仿宋_GBK" w:hAnsi="方正仿宋_GBK" w:eastAsia="方正仿宋_GBK" w:cs="方正仿宋_GBK"/>
          <w:b/>
          <w:bCs/>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（三）强化临床营养工作。</w:t>
      </w:r>
      <w:r>
        <w:rPr>
          <w:rFonts w:hint="eastAsia" w:ascii="方正仿宋_GBK" w:hAnsi="方正仿宋_GBK" w:eastAsia="方正仿宋_GBK" w:cs="方正仿宋_GBK"/>
          <w:color w:val="000000"/>
          <w:kern w:val="0"/>
          <w:sz w:val="32"/>
          <w:szCs w:val="32"/>
          <w:lang w:val="en-US" w:eastAsia="zh-CN" w:bidi="ar"/>
        </w:rPr>
        <w:t>各级医疗机构要强化临床营养科建设和临床营养工作，进一步建立健全临床营养管理组织，规范特医食品等临床营养制剂的管理和使用。指导医疗机构建立特医食品院内管理制度和使用流程，规范营养筛查与评估。</w:t>
      </w:r>
      <w:r>
        <w:rPr>
          <w:rFonts w:ascii="方正仿宋_GBK" w:hAnsi="方正仿宋_GBK" w:eastAsia="方正仿宋_GBK" w:cs="方正仿宋_GBK"/>
          <w:color w:val="000000"/>
          <w:kern w:val="0"/>
          <w:sz w:val="32"/>
          <w:szCs w:val="32"/>
          <w:lang w:val="en-US" w:eastAsia="zh-CN" w:bidi="ar"/>
        </w:rPr>
        <w:t>鼓励设立临床营养科的医疗机构将特医食品纳入医疗机构</w:t>
      </w:r>
      <w:r>
        <w:rPr>
          <w:rFonts w:hint="eastAsia" w:ascii="方正仿宋_GBK" w:hAnsi="方正仿宋_GBK" w:eastAsia="方正仿宋_GBK" w:cs="方正仿宋_GBK"/>
          <w:color w:val="000000"/>
          <w:kern w:val="0"/>
          <w:sz w:val="32"/>
          <w:szCs w:val="32"/>
          <w:lang w:val="en-US" w:eastAsia="zh-CN" w:bidi="ar"/>
        </w:rPr>
        <w:t>信息（HIS）系统，对接处方、医嘱、收费和库房管理等子系统。</w:t>
      </w:r>
      <w:r>
        <w:rPr>
          <w:rFonts w:hint="eastAsia" w:ascii="方正楷体_GBK" w:hAnsi="方正楷体_GBK" w:eastAsia="方正楷体_GBK" w:cs="方正楷体_GBK"/>
          <w:b w:val="0"/>
          <w:bCs w:val="0"/>
          <w:color w:val="000000"/>
          <w:kern w:val="0"/>
          <w:sz w:val="32"/>
          <w:szCs w:val="32"/>
          <w:lang w:val="en-US" w:eastAsia="zh-CN" w:bidi="ar"/>
        </w:rPr>
        <w:t>（责任单位：市卫生健康委）</w:t>
      </w:r>
    </w:p>
    <w:p w14:paraId="52229B2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（四）推进特医食品规范化管理试点。</w:t>
      </w:r>
      <w:r>
        <w:rPr>
          <w:rFonts w:hint="eastAsia" w:ascii="方正仿宋_GBK" w:hAnsi="方正仿宋_GBK" w:eastAsia="方正仿宋_GBK" w:cs="方正仿宋_GBK"/>
          <w:color w:val="000000"/>
          <w:kern w:val="0"/>
          <w:sz w:val="32"/>
          <w:szCs w:val="32"/>
          <w:lang w:val="en-US" w:eastAsia="zh-CN" w:bidi="ar"/>
        </w:rPr>
        <w:t>选取1-2家在本地规模和影响力较大的医疗机构开展特医食品规范化管理试点，采取上门法律宣讲、政策指导和点对点帮扶等举措，指导其制定试点实施方案，推进特医食品规范化管理。力争2025年底总结试点工作经验并形成可借鉴模板，在市、县两级推广。</w:t>
      </w:r>
      <w:r>
        <w:rPr>
          <w:rFonts w:hint="eastAsia" w:ascii="方正楷体_GBK" w:hAnsi="方正楷体_GBK" w:eastAsia="方正楷体_GBK" w:cs="方正楷体_GBK"/>
          <w:b w:val="0"/>
          <w:bCs w:val="0"/>
          <w:color w:val="000000"/>
          <w:kern w:val="0"/>
          <w:sz w:val="32"/>
          <w:szCs w:val="32"/>
          <w:lang w:val="en-US" w:eastAsia="zh-CN" w:bidi="ar"/>
        </w:rPr>
        <w:t>（责任单位：市卫生健康委）</w:t>
      </w:r>
      <w:r>
        <w:rPr>
          <w:rFonts w:hint="eastAsia" w:ascii="方正仿宋_GBK" w:hAnsi="方正仿宋_GBK" w:eastAsia="方正仿宋_GBK" w:cs="方正仿宋_GBK"/>
          <w:color w:val="000000"/>
          <w:kern w:val="0"/>
          <w:sz w:val="32"/>
          <w:szCs w:val="32"/>
          <w:lang w:val="en-US" w:eastAsia="zh-CN" w:bidi="ar"/>
        </w:rPr>
        <w:t>开展养老机构特医食品营养试点，指导试点养老机构加强营养师培训和配备，建立老年人营养档案，提高老年人营养支持科学水平。通过试点树立标杆，发挥示范引领作用。</w:t>
      </w:r>
      <w:r>
        <w:rPr>
          <w:rFonts w:hint="eastAsia" w:ascii="方正楷体_GBK" w:hAnsi="方正楷体_GBK" w:eastAsia="方正楷体_GBK" w:cs="方正楷体_GBK"/>
          <w:b w:val="0"/>
          <w:bCs w:val="0"/>
          <w:color w:val="000000"/>
          <w:kern w:val="0"/>
          <w:sz w:val="32"/>
          <w:szCs w:val="32"/>
          <w:lang w:val="en-US" w:eastAsia="zh-CN" w:bidi="ar"/>
        </w:rPr>
        <w:t>（责任单位：市民政局）</w:t>
      </w:r>
    </w:p>
    <w:p w14:paraId="786506A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（五）建立特医食品阳光采购机制。</w:t>
      </w:r>
      <w:r>
        <w:rPr>
          <w:rFonts w:hint="eastAsia" w:ascii="方正仿宋_GBK" w:hAnsi="方正仿宋_GBK" w:eastAsia="方正仿宋_GBK" w:cs="方正仿宋_GBK"/>
          <w:color w:val="000000"/>
          <w:kern w:val="0"/>
          <w:sz w:val="32"/>
          <w:szCs w:val="32"/>
          <w:lang w:val="en-US" w:eastAsia="zh-CN" w:bidi="ar"/>
        </w:rPr>
        <w:t>组织本地医疗机构和企业做好信息业务编码维护，医疗机构使用特医食品单独结算，不纳入医疗总费用。公立医疗机构应在江苏省阳光采购平台采购特医食品，销售价格不得超过平台挂网价，并通过电子屏、公示栏等方式，全面公示特医食品的品种、规格、价格和计价单位，同时在费用清单中清晰列示特医食品费用明细，方便患者查询核对。</w:t>
      </w:r>
      <w:r>
        <w:rPr>
          <w:rFonts w:hint="eastAsia" w:ascii="方正楷体_GBK" w:hAnsi="方正楷体_GBK" w:eastAsia="方正楷体_GBK" w:cs="方正楷体_GBK"/>
          <w:b w:val="0"/>
          <w:bCs w:val="0"/>
          <w:color w:val="000000"/>
          <w:kern w:val="0"/>
          <w:sz w:val="32"/>
          <w:szCs w:val="32"/>
          <w:lang w:val="en-US" w:eastAsia="zh-CN" w:bidi="ar"/>
        </w:rPr>
        <w:t>（责任单位：市医保局）</w:t>
      </w:r>
    </w:p>
    <w:p w14:paraId="71756BF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（六）拓宽特医食品应用渠道。</w:t>
      </w:r>
      <w:r>
        <w:rPr>
          <w:rFonts w:hint="eastAsia" w:ascii="方正仿宋_GBK" w:hAnsi="方正仿宋_GBK" w:eastAsia="方正仿宋_GBK" w:cs="方正仿宋_GBK"/>
          <w:color w:val="000000"/>
          <w:kern w:val="0"/>
          <w:sz w:val="32"/>
          <w:szCs w:val="32"/>
          <w:lang w:val="en-US" w:eastAsia="zh-CN" w:bidi="ar"/>
        </w:rPr>
        <w:t>加强特医食品知识宣传、品牌宣传，提高全社会对特医食品的认知度、接受度，加强特医食品经营和使用主体相关人员培训，促进行业自律。积极探索特医食品在养老院、社区卫生服务机构和学校等新场景的应用和宣传，增强特医食品对老年群体、学生等重点人群的可及性，提升重点人群营养健康保障水平。</w:t>
      </w:r>
      <w:r>
        <w:rPr>
          <w:rFonts w:hint="eastAsia" w:ascii="方正楷体_GBK" w:hAnsi="方正楷体_GBK" w:eastAsia="方正楷体_GBK" w:cs="方正楷体_GBK"/>
          <w:b w:val="0"/>
          <w:bCs w:val="0"/>
          <w:color w:val="000000"/>
          <w:kern w:val="0"/>
          <w:sz w:val="32"/>
          <w:szCs w:val="32"/>
          <w:lang w:val="en-US" w:eastAsia="zh-CN" w:bidi="ar"/>
        </w:rPr>
        <w:t>（责任单位：市市场监管局、市民政局、市教育局、市卫生健康委、市医保局）</w:t>
      </w:r>
    </w:p>
    <w:p w14:paraId="076E0F9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三、实施步骤</w:t>
      </w:r>
    </w:p>
    <w:p w14:paraId="240D0DCB">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（一）动员部署阶段（2025年7月底）。</w:t>
      </w:r>
      <w:r>
        <w:rPr>
          <w:rFonts w:hint="default" w:ascii="Times New Roman" w:hAnsi="Times New Roman" w:eastAsia="方正仿宋_GBK" w:cs="Times New Roman"/>
          <w:b w:val="0"/>
          <w:bCs w:val="0"/>
          <w:color w:val="000000"/>
          <w:kern w:val="0"/>
          <w:sz w:val="32"/>
          <w:szCs w:val="32"/>
          <w:lang w:val="en-US" w:eastAsia="zh-CN" w:bidi="ar"/>
        </w:rPr>
        <w:t>研究具体落实措施，主动沟通对接，明确部门职责，确保政策落地见效。</w:t>
      </w:r>
    </w:p>
    <w:p w14:paraId="69F299B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（二）试点推进阶段（2025年8月—2025年11月）</w:t>
      </w:r>
      <w:r>
        <w:rPr>
          <w:rFonts w:hint="eastAsia" w:ascii="Times New Roman" w:hAnsi="Times New Roman" w:eastAsia="方正楷体_GBK" w:cs="Times New Roman"/>
          <w:b w:val="0"/>
          <w:bCs w:val="0"/>
          <w:color w:val="000000"/>
          <w:kern w:val="0"/>
          <w:sz w:val="32"/>
          <w:szCs w:val="32"/>
          <w:lang w:val="en-US" w:eastAsia="zh-CN" w:bidi="ar"/>
        </w:rPr>
        <w:t>。</w:t>
      </w:r>
      <w:r>
        <w:rPr>
          <w:rFonts w:hint="default" w:ascii="Times New Roman" w:hAnsi="Times New Roman" w:eastAsia="方正仿宋_GBK" w:cs="Times New Roman"/>
          <w:b w:val="0"/>
          <w:bCs w:val="0"/>
          <w:color w:val="000000"/>
          <w:kern w:val="0"/>
          <w:sz w:val="32"/>
          <w:szCs w:val="32"/>
          <w:lang w:val="en-US" w:eastAsia="zh-CN" w:bidi="ar"/>
        </w:rPr>
        <w:t>加大政策宣贯力度，重点推动相关医疗机构、养老机构试点开展特医食品规范化管理工作。</w:t>
      </w:r>
    </w:p>
    <w:p w14:paraId="4624BC28">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楷体_GBK" w:cs="Times New Roman"/>
          <w:b w:val="0"/>
          <w:bCs w:val="0"/>
          <w:color w:val="000000"/>
          <w:kern w:val="0"/>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（三）全面推广阶段（2025年11月—2026年12月底）。</w:t>
      </w:r>
      <w:r>
        <w:rPr>
          <w:rFonts w:hint="default" w:ascii="Times New Roman" w:hAnsi="Times New Roman" w:eastAsia="方正仿宋_GBK" w:cs="Times New Roman"/>
          <w:b w:val="0"/>
          <w:bCs w:val="0"/>
          <w:color w:val="000000"/>
          <w:kern w:val="0"/>
          <w:sz w:val="32"/>
          <w:szCs w:val="32"/>
          <w:lang w:val="en-US" w:eastAsia="zh-CN" w:bidi="ar"/>
        </w:rPr>
        <w:t>总结试点经验，在全市三级以上医疗机构推广特医食品规范化管理措施，持续提升我市特医食品规范化管理水平。</w:t>
      </w:r>
    </w:p>
    <w:p w14:paraId="09216021">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市市场监管局联系人：杜春艳，84355873；</w:t>
      </w:r>
    </w:p>
    <w:p w14:paraId="4F0AD4D7">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市教育局联系人：洪晓曼，84389614；</w:t>
      </w:r>
    </w:p>
    <w:p w14:paraId="0481600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市民政局联系人：王书童，84363659；</w:t>
      </w:r>
    </w:p>
    <w:p w14:paraId="78D7E2F1">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市卫生健康委联系人：李勇，84389160；</w:t>
      </w:r>
    </w:p>
    <w:p w14:paraId="213F99DF">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市医保局联系人：沈峻平，84368307。    </w:t>
      </w:r>
    </w:p>
    <w:p w14:paraId="0F8F74CD">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20B11BEC">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32F64C31">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06AE439B">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18C449B3">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359EB1E2">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42B3EC19">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58BAACAF">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3DB630A9">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54E41044">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7FA1DA01">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32DDFAA0">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57932D92">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30F949C5">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6AC3DFD0">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405BDA6F">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lang w:val="en-US" w:eastAsia="zh-CN" w:bidi="ar"/>
        </w:rPr>
      </w:pPr>
    </w:p>
    <w:p w14:paraId="1DA38114">
      <w:pPr>
        <w:keepNext w:val="0"/>
        <w:keepLines w:val="0"/>
        <w:pageBreakBefore w:val="0"/>
        <w:kinsoku/>
        <w:wordWrap/>
        <w:overflowPunct/>
        <w:topLinePunct w:val="0"/>
        <w:autoSpaceDE/>
        <w:autoSpaceDN/>
        <w:bidi w:val="0"/>
        <w:adjustRightInd/>
        <w:snapToGrid/>
        <w:spacing w:line="578" w:lineRule="exact"/>
        <w:ind w:left="638" w:leftChars="304" w:firstLine="0" w:firstLineChars="0"/>
        <w:textAlignment w:val="auto"/>
        <w:rPr>
          <w:rFonts w:hint="default" w:ascii="Times New Roman" w:hAnsi="Times New Roman" w:eastAsia="方正仿宋_GBK" w:cs="Times New Roman"/>
          <w:color w:val="000000"/>
          <w:kern w:val="0"/>
          <w:sz w:val="32"/>
          <w:szCs w:val="32"/>
          <w:lang w:val="en-US" w:eastAsia="zh-CN" w:bidi="ar"/>
        </w:rPr>
      </w:pPr>
    </w:p>
    <w:p w14:paraId="1312FA50">
      <w:pPr>
        <w:keepNext w:val="0"/>
        <w:keepLines w:val="0"/>
        <w:pageBreakBefore w:val="0"/>
        <w:kinsoku/>
        <w:wordWrap/>
        <w:overflowPunct/>
        <w:topLinePunct w:val="0"/>
        <w:autoSpaceDE/>
        <w:autoSpaceDN/>
        <w:bidi w:val="0"/>
        <w:adjustRightInd/>
        <w:snapToGrid/>
        <w:spacing w:line="578" w:lineRule="exact"/>
        <w:ind w:firstLine="280" w:firstLineChars="100"/>
        <w:textAlignment w:val="auto"/>
        <w:rPr>
          <w:rFonts w:hint="default" w:ascii="Times New Roman" w:hAnsi="Times New Roman" w:eastAsia="方正仿宋_GBK" w:cs="Times New Roman"/>
          <w:color w:val="000000"/>
          <w:kern w:val="0"/>
          <w:sz w:val="28"/>
          <w:szCs w:val="28"/>
          <w:lang w:val="en-US" w:eastAsia="zh-CN" w:bidi="ar"/>
        </w:rPr>
      </w:pPr>
      <w:r>
        <w:rPr>
          <w:sz w:val="28"/>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398780</wp:posOffset>
                </wp:positionV>
                <wp:extent cx="5648325"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pt;margin-top:31.4pt;height:0pt;width:444.75pt;z-index:251662336;mso-width-relative:page;mso-height-relative:page;" filled="f" stroked="t" coordsize="21600,21600" o:gfxdata="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VvPv3YAAAA&#10;CAEAAA8AAAAAAAAAAQAgAAAAIgAAAGRycy9kb3ducmV2LnhtbFBLAQIUABQAAAAIAIdO4kBtAMS4&#10;5AEAALIDAAAOAAAAAAAAAAEAIAAAACcBAABkcnMvZTJvRG9jLnhtbFBLBQYAAAAABgAGAFkBAAB9&#10;BQA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27305</wp:posOffset>
                </wp:positionV>
                <wp:extent cx="5648325" cy="0"/>
                <wp:effectExtent l="0" t="6350" r="0" b="6350"/>
                <wp:wrapNone/>
                <wp:docPr id="4" name="直接连接符 4"/>
                <wp:cNvGraphicFramePr/>
                <a:graphic xmlns:a="http://schemas.openxmlformats.org/drawingml/2006/main">
                  <a:graphicData uri="http://schemas.microsoft.com/office/word/2010/wordprocessingShape">
                    <wps:wsp>
                      <wps:cNvCnPr/>
                      <wps:spPr>
                        <a:xfrm>
                          <a:off x="913130" y="8700135"/>
                          <a:ext cx="564832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65pt;margin-top:2.15pt;height:0pt;width:444.75pt;z-index:251661312;mso-width-relative:page;mso-height-relative:page;" filled="f" stroked="t" coordsize="21600,21600" o:gfxdata="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W6OONYAAAAGAQAADwAAAAAAAAABACAAAAAiAAAAZHJzL2Rvd25yZXYueG1sUEsBAhQAFAAA&#10;AAgAh07iQIJ3YTPxAQAAvQMAAA4AAAAAAAAAAQAgAAAAJQEAAGRycy9lMm9Eb2MueG1sUEsFBgAA&#10;AAAGAAYAWQEAAIgFAAAAAA==&#10;">
                <v:fill on="f" focussize="0,0"/>
                <v:stroke weight="1pt" color="#000000 [3213]" miterlimit="8" joinstyle="miter"/>
                <v:imagedata o:title=""/>
                <o:lock v:ext="edit" aspectratio="f"/>
              </v:line>
            </w:pict>
          </mc:Fallback>
        </mc:AlternateContent>
      </w:r>
      <w:r>
        <w:rPr>
          <w:rFonts w:hint="default" w:ascii="Times New Roman" w:hAnsi="Times New Roman" w:eastAsia="方正仿宋_GBK" w:cs="Times New Roman"/>
          <w:color w:val="000000"/>
          <w:kern w:val="0"/>
          <w:sz w:val="28"/>
          <w:szCs w:val="28"/>
          <w:lang w:val="en-US" w:eastAsia="zh-CN" w:bidi="ar"/>
        </w:rPr>
        <w:t xml:space="preserve">宿迁市市场监督管理局办公室     </w:t>
      </w:r>
      <w:r>
        <w:rPr>
          <w:rFonts w:hint="eastAsia" w:ascii="Times New Roman" w:hAnsi="Times New Roman" w:eastAsia="方正仿宋_GBK" w:cs="Times New Roman"/>
          <w:color w:val="000000"/>
          <w:kern w:val="0"/>
          <w:sz w:val="28"/>
          <w:szCs w:val="28"/>
          <w:lang w:val="en-US" w:eastAsia="zh-CN" w:bidi="ar"/>
        </w:rPr>
        <w:t xml:space="preserve">    </w:t>
      </w:r>
      <w:r>
        <w:rPr>
          <w:rFonts w:hint="default" w:ascii="Times New Roman" w:hAnsi="Times New Roman" w:eastAsia="方正仿宋_GBK" w:cs="Times New Roman"/>
          <w:color w:val="000000"/>
          <w:kern w:val="0"/>
          <w:sz w:val="28"/>
          <w:szCs w:val="28"/>
          <w:lang w:val="en-US" w:eastAsia="zh-CN" w:bidi="ar"/>
        </w:rPr>
        <w:t xml:space="preserve">    2025年7月10日印发</w:t>
      </w:r>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8F19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E7CC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E7CC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76791"/>
    <w:rsid w:val="000620DB"/>
    <w:rsid w:val="00237A6E"/>
    <w:rsid w:val="00B5443F"/>
    <w:rsid w:val="00FD0314"/>
    <w:rsid w:val="028E6E0F"/>
    <w:rsid w:val="037E320E"/>
    <w:rsid w:val="04AD3DAA"/>
    <w:rsid w:val="05676791"/>
    <w:rsid w:val="058D14E6"/>
    <w:rsid w:val="05F402D5"/>
    <w:rsid w:val="07C5140B"/>
    <w:rsid w:val="096A3EC6"/>
    <w:rsid w:val="0D096B52"/>
    <w:rsid w:val="0DBE0DD6"/>
    <w:rsid w:val="0EBE4E06"/>
    <w:rsid w:val="0F1A2909"/>
    <w:rsid w:val="0F82781D"/>
    <w:rsid w:val="116A283D"/>
    <w:rsid w:val="143A4F2F"/>
    <w:rsid w:val="14711417"/>
    <w:rsid w:val="16117F11"/>
    <w:rsid w:val="165B0734"/>
    <w:rsid w:val="169504FD"/>
    <w:rsid w:val="17C76AD9"/>
    <w:rsid w:val="1A832ED1"/>
    <w:rsid w:val="1BFF73B7"/>
    <w:rsid w:val="1DD65CC8"/>
    <w:rsid w:val="20EB126D"/>
    <w:rsid w:val="211C10DC"/>
    <w:rsid w:val="24264B88"/>
    <w:rsid w:val="24853FA4"/>
    <w:rsid w:val="261554D3"/>
    <w:rsid w:val="26B50445"/>
    <w:rsid w:val="26C568DA"/>
    <w:rsid w:val="272555CB"/>
    <w:rsid w:val="289D72E9"/>
    <w:rsid w:val="292F44DF"/>
    <w:rsid w:val="298F31CF"/>
    <w:rsid w:val="29DF7CB3"/>
    <w:rsid w:val="2B365FF8"/>
    <w:rsid w:val="2C106849"/>
    <w:rsid w:val="2DAF2092"/>
    <w:rsid w:val="2F5C78CB"/>
    <w:rsid w:val="30AD0B0B"/>
    <w:rsid w:val="313034EA"/>
    <w:rsid w:val="31340502"/>
    <w:rsid w:val="31440D43"/>
    <w:rsid w:val="329A50BF"/>
    <w:rsid w:val="35D11499"/>
    <w:rsid w:val="36586B29"/>
    <w:rsid w:val="37022D4B"/>
    <w:rsid w:val="3BAF0964"/>
    <w:rsid w:val="3D8F1598"/>
    <w:rsid w:val="40225A46"/>
    <w:rsid w:val="408B24EB"/>
    <w:rsid w:val="40BD51B0"/>
    <w:rsid w:val="41466412"/>
    <w:rsid w:val="445726E2"/>
    <w:rsid w:val="449B0822"/>
    <w:rsid w:val="461F1B74"/>
    <w:rsid w:val="46850939"/>
    <w:rsid w:val="476D294A"/>
    <w:rsid w:val="49807271"/>
    <w:rsid w:val="49CC4ED6"/>
    <w:rsid w:val="4EC64671"/>
    <w:rsid w:val="5087123D"/>
    <w:rsid w:val="52DC2732"/>
    <w:rsid w:val="53566988"/>
    <w:rsid w:val="53A54A39"/>
    <w:rsid w:val="54751090"/>
    <w:rsid w:val="54B424B4"/>
    <w:rsid w:val="57342B3C"/>
    <w:rsid w:val="5A5529B8"/>
    <w:rsid w:val="5A706581"/>
    <w:rsid w:val="5D1C479E"/>
    <w:rsid w:val="5E84532C"/>
    <w:rsid w:val="5EA66A16"/>
    <w:rsid w:val="5F9D7475"/>
    <w:rsid w:val="60536729"/>
    <w:rsid w:val="60B05E21"/>
    <w:rsid w:val="61427546"/>
    <w:rsid w:val="619817AB"/>
    <w:rsid w:val="623F35B6"/>
    <w:rsid w:val="651260E7"/>
    <w:rsid w:val="67654F94"/>
    <w:rsid w:val="6815075C"/>
    <w:rsid w:val="6A38073E"/>
    <w:rsid w:val="6A796873"/>
    <w:rsid w:val="6AB4693A"/>
    <w:rsid w:val="6AB75B07"/>
    <w:rsid w:val="6B182A49"/>
    <w:rsid w:val="6BBB1626"/>
    <w:rsid w:val="6C264CF2"/>
    <w:rsid w:val="6C6A0AC0"/>
    <w:rsid w:val="6CEE3336"/>
    <w:rsid w:val="6DDE4757"/>
    <w:rsid w:val="6DF50874"/>
    <w:rsid w:val="6E18518F"/>
    <w:rsid w:val="70F03B20"/>
    <w:rsid w:val="728F19EB"/>
    <w:rsid w:val="7298446F"/>
    <w:rsid w:val="729D55E2"/>
    <w:rsid w:val="7923202E"/>
    <w:rsid w:val="7A9C48C9"/>
    <w:rsid w:val="7C02295A"/>
    <w:rsid w:val="7C653DF9"/>
    <w:rsid w:val="7E2F1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1936</Words>
  <Characters>2020</Characters>
  <Lines>0</Lines>
  <Paragraphs>0</Paragraphs>
  <TotalTime>7</TotalTime>
  <ScaleCrop>false</ScaleCrop>
  <LinksUpToDate>false</LinksUpToDate>
  <CharactersWithSpaces>2072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2025-06-05T03:09:00Z</dcterms:created>
  <dc:creator>雅致</dc:creator>
  <cp:lastModifiedBy>咸鱼</cp:lastModifiedBy>
  <cp:lastPrinted>2025-07-14T03:31:21Z</cp:lastPrinted>
  <dcterms:modified xsi:type="dcterms:W3CDTF">2025-07-14T04:34:05Z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47ABA1DE7091428F8FD7F92F58D5512E_13</vt:lpwstr>
  </property>
  <property fmtid="{D5CDD505-2E9C-101B-9397-08002B2CF9AE}" pid="4" name="KSOTemplateDocerSaveRecord">
    <vt:lpwstr>eyJoZGlkIjoiOWRhNGIzZGIxYzk1NjYyYjdjOWYyZTkzOTM2ZTBmMzIiLCJ1c2VySWQiOiIxNjA5OTk0OTIyIn0=</vt:lpwstr>
  </property>
</Properties>
</file>