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png" ContentType="image/png"/>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35.240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L70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3213</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宿迁市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公共数据平台日常巡检及应急处置规范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Specifications for routine inspections and emergency response on public data platforms</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024.</w:t>
      </w:r>
      <w:r>
        <w:rPr>
          <w:rFonts w:hint="eastAsia"/>
          <w:sz w:val="21"/>
          <w:szCs w:val="28"/>
        </w:rPr>
        <w:t>12</w:t>
      </w:r>
      <w:r>
        <w:rPr>
          <w:sz w:val="21"/>
          <w:szCs w:val="28"/>
        </w:rPr>
        <w:t>.</w:t>
      </w:r>
      <w:r>
        <w:rPr>
          <w:rFonts w:hint="eastAsia"/>
          <w:sz w:val="21"/>
          <w:szCs w:val="28"/>
        </w:rPr>
        <w:t>06）</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04</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30</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04</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30</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宿迁市市场监督管理局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180753588"/>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"_Toc180756469" </w:instrText>
      </w:r>
      <w:r>
        <w:fldChar w:fldCharType="separate"/>
      </w:r>
      <w:r>
        <w:rPr>
          <w:rStyle w:val="32"/>
        </w:rPr>
        <w:t>前言</w:t>
      </w:r>
      <w:r>
        <w:tab/>
      </w:r>
      <w:r>
        <w:fldChar w:fldCharType="begin"/>
      </w:r>
      <w:r>
        <w:instrText xml:space="preserve"> PAGEREF _Toc180756469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"_Toc180756470" </w:instrText>
      </w:r>
      <w:r>
        <w:fldChar w:fldCharType="separate"/>
      </w:r>
      <w:r>
        <w:rPr>
          <w:rStyle w:val="32"/>
        </w:rPr>
        <w:t>1  范围</w:t>
      </w:r>
      <w:r>
        <w:tab/>
      </w:r>
      <w:r>
        <w:fldChar w:fldCharType="begin"/>
      </w:r>
      <w:r>
        <w:instrText xml:space="preserve"> PAGEREF _Toc180756470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"_Toc180756471" </w:instrText>
      </w:r>
      <w:r>
        <w:fldChar w:fldCharType="separate"/>
      </w:r>
      <w:r>
        <w:rPr>
          <w:rStyle w:val="32"/>
        </w:rPr>
        <w:t>2  规范性引用文件</w:t>
      </w:r>
      <w:r>
        <w:tab/>
      </w:r>
      <w:r>
        <w:fldChar w:fldCharType="begin"/>
      </w:r>
      <w:r>
        <w:instrText xml:space="preserve"> PAGEREF _Toc180756471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"_Toc180756472" </w:instrText>
      </w:r>
      <w:r>
        <w:fldChar w:fldCharType="separate"/>
      </w:r>
      <w:r>
        <w:rPr>
          <w:rStyle w:val="32"/>
        </w:rPr>
        <w:t>3  术语和定义</w:t>
      </w:r>
      <w:r>
        <w:tab/>
      </w:r>
      <w:r>
        <w:fldChar w:fldCharType="begin"/>
      </w:r>
      <w:r>
        <w:instrText xml:space="preserve"> PAGEREF _Toc180756472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"_Toc180756473" </w:instrText>
      </w:r>
      <w:r>
        <w:fldChar w:fldCharType="separate"/>
      </w:r>
      <w:r>
        <w:rPr>
          <w:rStyle w:val="32"/>
          <w14:scene3d w14:prst="orthographicFront">
            <w14:lightRig w14:rig="threePt" w14:dir="t">
              <w14:rot w14:lat="0" w14:lon="0" w14:rev="0"/>
            </w14:lightRig>
          </w14:scene3d>
        </w:rPr>
        <w:t xml:space="preserve">3.1 </w:t>
      </w:r>
      <w:r>
        <w:rPr>
          <w:rStyle w:val="32"/>
        </w:rPr>
        <w:t xml:space="preserve"> 日常巡检</w:t>
      </w:r>
      <w:r>
        <w:tab/>
      </w:r>
      <w:r>
        <w:fldChar w:fldCharType="begin"/>
      </w:r>
      <w:r>
        <w:instrText xml:space="preserve"> PAGEREF _Toc180756473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"_Toc180756474" </w:instrText>
      </w:r>
      <w:r>
        <w:fldChar w:fldCharType="separate"/>
      </w:r>
      <w:r>
        <w:rPr>
          <w:rStyle w:val="32"/>
          <w14:scene3d w14:prst="orthographicFront">
            <w14:lightRig w14:rig="threePt" w14:dir="t">
              <w14:rot w14:lat="0" w14:lon="0" w14:rev="0"/>
            </w14:lightRig>
          </w14:scene3d>
        </w:rPr>
        <w:t xml:space="preserve">3.2 </w:t>
      </w:r>
      <w:r>
        <w:rPr>
          <w:rStyle w:val="32"/>
        </w:rPr>
        <w:t xml:space="preserve"> 应急事件</w:t>
      </w:r>
      <w:r>
        <w:tab/>
      </w:r>
      <w:r>
        <w:fldChar w:fldCharType="begin"/>
      </w:r>
      <w:r>
        <w:instrText xml:space="preserve"> PAGEREF _Toc180756474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"_Toc180756475" </w:instrText>
      </w:r>
      <w:r>
        <w:fldChar w:fldCharType="separate"/>
      </w:r>
      <w:r>
        <w:rPr>
          <w:rStyle w:val="32"/>
          <w14:scene3d w14:prst="orthographicFront">
            <w14:lightRig w14:rig="threePt" w14:dir="t">
              <w14:rot w14:lat="0" w14:lon="0" w14:rev="0"/>
            </w14:lightRig>
          </w14:scene3d>
        </w:rPr>
        <w:t xml:space="preserve">3.3 </w:t>
      </w:r>
      <w:r>
        <w:rPr>
          <w:rStyle w:val="32"/>
        </w:rPr>
        <w:t xml:space="preserve"> 应急处置</w:t>
      </w:r>
      <w:r>
        <w:tab/>
      </w:r>
      <w:r>
        <w:fldChar w:fldCharType="begin"/>
      </w:r>
      <w:r>
        <w:instrText xml:space="preserve"> PAGEREF _Toc180756475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"_Toc180756476" </w:instrText>
      </w:r>
      <w:r>
        <w:fldChar w:fldCharType="separate"/>
      </w:r>
      <w:r>
        <w:rPr>
          <w:rStyle w:val="32"/>
        </w:rPr>
        <w:t>4  总体架构</w:t>
      </w:r>
      <w:r>
        <w:tab/>
      </w:r>
      <w:r>
        <w:fldChar w:fldCharType="begin"/>
      </w:r>
      <w:r>
        <w:instrText xml:space="preserve"> PAGEREF _Toc180756476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"_Toc180756477" </w:instrText>
      </w:r>
      <w:r>
        <w:fldChar w:fldCharType="separate"/>
      </w:r>
      <w:r>
        <w:rPr>
          <w:rStyle w:val="32"/>
          <w14:scene3d w14:prst="orthographicFront">
            <w14:lightRig w14:rig="threePt" w14:dir="t">
              <w14:rot w14:lat="0" w14:lon="0" w14:rev="0"/>
            </w14:lightRig>
          </w14:scene3d>
        </w:rPr>
        <w:t xml:space="preserve">4.1 </w:t>
      </w:r>
      <w:r>
        <w:rPr>
          <w:rStyle w:val="32"/>
        </w:rPr>
        <w:t xml:space="preserve"> 平台日常巡检</w:t>
      </w:r>
      <w:r>
        <w:tab/>
      </w:r>
      <w:r>
        <w:fldChar w:fldCharType="begin"/>
      </w:r>
      <w:r>
        <w:instrText xml:space="preserve"> PAGEREF _Toc180756477 \h </w:instrText>
      </w:r>
      <w:r>
        <w:fldChar w:fldCharType="separate"/>
      </w:r>
      <w:r>
        <w:t>2</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"_Toc180756478" </w:instrText>
      </w:r>
      <w:r>
        <w:fldChar w:fldCharType="separate"/>
      </w:r>
      <w:r>
        <w:rPr>
          <w:rStyle w:val="32"/>
        </w:rPr>
        <w:t>4.1.1  巡检内容</w:t>
      </w:r>
      <w:r>
        <w:tab/>
      </w:r>
      <w:r>
        <w:fldChar w:fldCharType="begin"/>
      </w:r>
      <w:r>
        <w:instrText xml:space="preserve"> PAGEREF _Toc180756478 \h </w:instrText>
      </w:r>
      <w:r>
        <w:fldChar w:fldCharType="separate"/>
      </w:r>
      <w:r>
        <w:t>2</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"_Toc180756479" </w:instrText>
      </w:r>
      <w:r>
        <w:fldChar w:fldCharType="separate"/>
      </w:r>
      <w:r>
        <w:rPr>
          <w:rStyle w:val="32"/>
        </w:rPr>
        <w:t>4.1.2  巡检计划</w:t>
      </w:r>
      <w:r>
        <w:tab/>
      </w:r>
      <w:r>
        <w:fldChar w:fldCharType="begin"/>
      </w:r>
      <w:r>
        <w:instrText xml:space="preserve"> PAGEREF _Toc180756479 \h </w:instrText>
      </w:r>
      <w:r>
        <w:fldChar w:fldCharType="separate"/>
      </w:r>
      <w:r>
        <w:t>2</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"_Toc180756480" </w:instrText>
      </w:r>
      <w:r>
        <w:fldChar w:fldCharType="separate"/>
      </w:r>
      <w:r>
        <w:rPr>
          <w:rStyle w:val="32"/>
        </w:rPr>
        <w:t>4.1.3  巡检问责</w:t>
      </w:r>
      <w:r>
        <w:tab/>
      </w:r>
      <w:r>
        <w:fldChar w:fldCharType="begin"/>
      </w:r>
      <w:r>
        <w:instrText xml:space="preserve"> PAGEREF _Toc180756480 \h </w:instrText>
      </w:r>
      <w:r>
        <w:fldChar w:fldCharType="separate"/>
      </w:r>
      <w:r>
        <w:t>2</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"_Toc180756481" </w:instrText>
      </w:r>
      <w:r>
        <w:fldChar w:fldCharType="separate"/>
      </w:r>
      <w:r>
        <w:rPr>
          <w:rStyle w:val="32"/>
        </w:rPr>
        <w:t>4.1.4  巡检报告</w:t>
      </w:r>
      <w:r>
        <w:tab/>
      </w:r>
      <w:r>
        <w:fldChar w:fldCharType="begin"/>
      </w:r>
      <w:r>
        <w:instrText xml:space="preserve"> PAGEREF _Toc180756481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"_Toc180756482" </w:instrText>
      </w:r>
      <w:r>
        <w:fldChar w:fldCharType="separate"/>
      </w:r>
      <w:r>
        <w:rPr>
          <w:rStyle w:val="32"/>
          <w14:scene3d w14:prst="orthographicFront">
            <w14:lightRig w14:rig="threePt" w14:dir="t">
              <w14:rot w14:lat="0" w14:lon="0" w14:rev="0"/>
            </w14:lightRig>
          </w14:scene3d>
        </w:rPr>
        <w:t xml:space="preserve">4.2 </w:t>
      </w:r>
      <w:r>
        <w:rPr>
          <w:rStyle w:val="32"/>
        </w:rPr>
        <w:t xml:space="preserve"> 预警与报障</w:t>
      </w:r>
      <w:r>
        <w:tab/>
      </w:r>
      <w:r>
        <w:fldChar w:fldCharType="begin"/>
      </w:r>
      <w:r>
        <w:instrText xml:space="preserve"> PAGEREF _Toc180756482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"_Toc180756483" </w:instrText>
      </w:r>
      <w:r>
        <w:fldChar w:fldCharType="separate"/>
      </w:r>
      <w:r>
        <w:rPr>
          <w:rStyle w:val="32"/>
          <w14:scene3d w14:prst="orthographicFront">
            <w14:lightRig w14:rig="threePt" w14:dir="t">
              <w14:rot w14:lat="0" w14:lon="0" w14:rev="0"/>
            </w14:lightRig>
          </w14:scene3d>
        </w:rPr>
        <w:t xml:space="preserve">4.3 </w:t>
      </w:r>
      <w:r>
        <w:rPr>
          <w:rStyle w:val="32"/>
        </w:rPr>
        <w:t xml:space="preserve"> 事件上报</w:t>
      </w:r>
      <w:r>
        <w:tab/>
      </w:r>
      <w:r>
        <w:fldChar w:fldCharType="begin"/>
      </w:r>
      <w:r>
        <w:instrText xml:space="preserve"> PAGEREF _Toc180756483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"_Toc180756484" </w:instrText>
      </w:r>
      <w:r>
        <w:fldChar w:fldCharType="separate"/>
      </w:r>
      <w:r>
        <w:rPr>
          <w:rStyle w:val="32"/>
          <w14:scene3d w14:prst="orthographicFront">
            <w14:lightRig w14:rig="threePt" w14:dir="t">
              <w14:rot w14:lat="0" w14:lon="0" w14:rev="0"/>
            </w14:lightRig>
          </w14:scene3d>
        </w:rPr>
        <w:t xml:space="preserve">4.4 </w:t>
      </w:r>
      <w:r>
        <w:rPr>
          <w:rStyle w:val="32"/>
        </w:rPr>
        <w:t xml:space="preserve"> 平台应急处置</w:t>
      </w:r>
      <w:r>
        <w:tab/>
      </w:r>
      <w:r>
        <w:fldChar w:fldCharType="begin"/>
      </w:r>
      <w:r>
        <w:instrText xml:space="preserve"> PAGEREF _Toc180756484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"_Toc180756485" </w:instrText>
      </w:r>
      <w:r>
        <w:fldChar w:fldCharType="separate"/>
      </w:r>
      <w:r>
        <w:rPr>
          <w:rStyle w:val="32"/>
        </w:rPr>
        <w:t>4.4.1  应急事件分级</w:t>
      </w:r>
      <w:r>
        <w:tab/>
      </w:r>
      <w:r>
        <w:fldChar w:fldCharType="begin"/>
      </w:r>
      <w:r>
        <w:instrText xml:space="preserve"> PAGEREF _Toc180756485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"_Toc180756486" </w:instrText>
      </w:r>
      <w:r>
        <w:fldChar w:fldCharType="separate"/>
      </w:r>
      <w:r>
        <w:rPr>
          <w:rStyle w:val="32"/>
        </w:rPr>
        <w:t>4.4.2  应急处置流程</w:t>
      </w:r>
      <w:r>
        <w:tab/>
      </w:r>
      <w:r>
        <w:fldChar w:fldCharType="begin"/>
      </w:r>
      <w:r>
        <w:instrText xml:space="preserve"> PAGEREF _Toc180756486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"_Toc180756487" </w:instrText>
      </w:r>
      <w:r>
        <w:fldChar w:fldCharType="separate"/>
      </w:r>
      <w:r>
        <w:rPr>
          <w:rStyle w:val="32"/>
        </w:rPr>
        <w:t>4.4.3  应急事件处置报告</w:t>
      </w:r>
      <w:r>
        <w:tab/>
      </w:r>
      <w:r>
        <w:fldChar w:fldCharType="begin"/>
      </w:r>
      <w:r>
        <w:instrText xml:space="preserve"> PAGEREF _Toc180756487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"_Toc180756488" </w:instrText>
      </w:r>
      <w:r>
        <w:fldChar w:fldCharType="separate"/>
      </w:r>
      <w:r>
        <w:rPr>
          <w:rStyle w:val="32"/>
        </w:rPr>
        <w:t>附录A（规范性）  巡检报告</w:t>
      </w:r>
      <w:r>
        <w:tab/>
      </w:r>
      <w:r>
        <w:fldChar w:fldCharType="begin"/>
      </w:r>
      <w:r>
        <w:instrText xml:space="preserve"> PAGEREF _Toc180756488 \h </w:instrText>
      </w:r>
      <w:r>
        <w:fldChar w:fldCharType="separate"/>
      </w:r>
      <w:r>
        <w:t>6</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"_Toc180756489" </w:instrText>
      </w:r>
      <w:r>
        <w:fldChar w:fldCharType="separate"/>
      </w:r>
      <w:r>
        <w:rPr>
          <w:rStyle w:val="32"/>
        </w:rPr>
        <w:t>附录B（规范性）  应急事件处置报告</w:t>
      </w:r>
      <w:r>
        <w:tab/>
      </w:r>
      <w:r>
        <w:fldChar w:fldCharType="begin"/>
      </w:r>
      <w:r>
        <w:instrText xml:space="preserve"> PAGEREF _Toc180756489 \h </w:instrText>
      </w:r>
      <w:r>
        <w:fldChar w:fldCharType="separate"/>
      </w:r>
      <w:r>
        <w:t>7</w:t>
      </w:r>
      <w:r>
        <w:fldChar w:fldCharType="end"/>
      </w:r>
      <w:r>
        <w:fldChar w:fldCharType="end"/>
      </w:r>
    </w:p>
    <w:p>
      <w:pPr>
        <w:pStyle w:val="91"/>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rPr>
          <w:spacing w:val="320"/>
        </w:rPr>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bookmarkStart w:id="23" w:name="_Toc180756469"/>
      <w:bookmarkStart w:id="24" w:name="BookMark2"/>
    </w:p>
    <w:p>
      <w:pPr>
        <w:pStyle w:val="89"/>
        <w:spacing w:before="900" w:after="468"/>
        <w:rPr>
          <w:spacing w:val="320"/>
        </w:rPr>
      </w:pPr>
      <w:r>
        <w:rPr>
          <w:spacing w:val="320"/>
        </w:rPr>
        <w:t>前言</w:t>
      </w:r>
      <w:bookmarkEnd w:id="22"/>
      <w:bookmarkEnd w:id="23"/>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本文件由宿迁市大数据中心提出。</w:t>
      </w:r>
    </w:p>
    <w:p>
      <w:pPr>
        <w:pStyle w:val="56"/>
        <w:ind w:firstLine="420"/>
      </w:pPr>
      <w:r>
        <w:rPr>
          <w:rFonts w:hint="eastAsia"/>
        </w:rPr>
        <w:t>本文件由宿迁市标准化技术委员会归口。</w:t>
      </w:r>
    </w:p>
    <w:p>
      <w:pPr>
        <w:pStyle w:val="56"/>
        <w:ind w:firstLine="420"/>
      </w:pPr>
      <w:r>
        <w:rPr>
          <w:rFonts w:hint="eastAsia"/>
        </w:rPr>
        <w:t>本文件起草单位：宿迁市大数据中心、江苏京世大数据管理有限公司。</w:t>
      </w:r>
    </w:p>
    <w:p>
      <w:pPr>
        <w:pStyle w:val="56"/>
        <w:ind w:firstLine="420"/>
      </w:pPr>
      <w:r>
        <w:rPr>
          <w:rFonts w:hint="eastAsia"/>
        </w:rPr>
        <w:t>本文件主要起草人：李波、周晓莉、王业鹏、张天奇、王喜瑞、陈林、季红、薛增原、王丙朝、李士武。</w:t>
      </w:r>
    </w:p>
    <w:p>
      <w:pPr>
        <w:pStyle w:val="56"/>
        <w:ind w:firstLine="420"/>
      </w:pPr>
      <w:r>
        <w:rPr>
          <w:rFonts w:hint="eastAsia"/>
        </w:rPr>
        <w:t>本文件为首次发布。</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24936052E0E446B4BA8F8849F732E9AF"/>
        </w:placeholder>
      </w:sdtPr>
      <w:sdtContent>
        <w:p>
          <w:pPr>
            <w:pStyle w:val="177"/>
            <w:spacing w:before="312" w:beforeLines="100" w:after="686" w:afterLines="220"/>
          </w:pPr>
          <w:bookmarkStart w:id="26" w:name="NEW_STAND_NAME"/>
          <w:r>
            <w:rPr>
              <w:rFonts w:hint="eastAsia"/>
            </w:rPr>
            <w:t>公共数据平台日常巡检及应急处置规范</w:t>
          </w:r>
        </w:p>
      </w:sdtContent>
    </w:sdt>
    <w:bookmarkEnd w:id="26"/>
    <w:p>
      <w:pPr>
        <w:pStyle w:val="104"/>
        <w:spacing w:before="312" w:after="312"/>
      </w:pPr>
      <w:bookmarkStart w:id="27" w:name="_Toc26986530"/>
      <w:bookmarkStart w:id="28" w:name="_Toc26718930"/>
      <w:bookmarkStart w:id="29" w:name="_Toc26986771"/>
      <w:bookmarkStart w:id="30" w:name="_Toc24884211"/>
      <w:bookmarkStart w:id="31" w:name="_Toc97191423"/>
      <w:bookmarkStart w:id="32" w:name="_Toc24884218"/>
      <w:bookmarkStart w:id="33" w:name="_Toc180753589"/>
      <w:bookmarkStart w:id="34" w:name="_Toc17233325"/>
      <w:bookmarkStart w:id="35" w:name="_Toc17233333"/>
      <w:bookmarkStart w:id="36" w:name="_Toc180756470"/>
      <w:bookmarkStart w:id="37" w:name="_Toc26648465"/>
      <w:r>
        <w:rPr>
          <w:rFonts w:hint="eastAsia"/>
        </w:rPr>
        <w:t>范围</w:t>
      </w:r>
      <w:bookmarkEnd w:id="27"/>
      <w:bookmarkEnd w:id="28"/>
      <w:bookmarkEnd w:id="29"/>
      <w:bookmarkEnd w:id="30"/>
      <w:bookmarkEnd w:id="31"/>
      <w:bookmarkEnd w:id="32"/>
      <w:bookmarkEnd w:id="33"/>
      <w:bookmarkEnd w:id="34"/>
      <w:bookmarkEnd w:id="35"/>
      <w:bookmarkEnd w:id="36"/>
      <w:bookmarkEnd w:id="37"/>
    </w:p>
    <w:p>
      <w:pPr>
        <w:pStyle w:val="56"/>
        <w:ind w:firstLine="420"/>
      </w:pPr>
      <w:bookmarkStart w:id="38" w:name="_Toc17233334"/>
      <w:bookmarkStart w:id="39" w:name="_Toc17233326"/>
      <w:bookmarkStart w:id="40" w:name="_Toc24884212"/>
      <w:bookmarkStart w:id="41" w:name="_Toc26648466"/>
      <w:bookmarkStart w:id="42" w:name="_Toc24884219"/>
      <w:r>
        <w:rPr>
          <w:rFonts w:hint="eastAsia"/>
        </w:rPr>
        <w:t>本文档规定了宿迁市公共数据平台（以下简称平台）日常巡检及应急处置过程及其规范。</w:t>
      </w:r>
    </w:p>
    <w:p>
      <w:pPr>
        <w:pStyle w:val="56"/>
        <w:ind w:firstLine="420"/>
      </w:pPr>
      <w:r>
        <w:rPr>
          <w:rFonts w:hint="eastAsia"/>
        </w:rPr>
        <w:t>本规范适用于宿迁市、县（区）大数据中心、公共数据运行管理机构及各公共数据相关运营单位的数据运营、数据管理等。</w:t>
      </w:r>
    </w:p>
    <w:p>
      <w:pPr>
        <w:pStyle w:val="104"/>
        <w:spacing w:before="312" w:after="312"/>
      </w:pPr>
      <w:bookmarkStart w:id="43" w:name="_Toc180753590"/>
      <w:bookmarkStart w:id="44" w:name="_Toc180756471"/>
      <w:bookmarkStart w:id="45" w:name="_Toc97191424"/>
      <w:bookmarkStart w:id="46" w:name="_Toc26986772"/>
      <w:bookmarkStart w:id="47" w:name="_Toc26986531"/>
      <w:bookmarkStart w:id="48" w:name="_Toc26718931"/>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32DAFB23925F4261B2A804A1EDEA7AA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28827.3-2012 信息技术服务 运行维护 第3部分：应急响应规范</w:t>
      </w:r>
    </w:p>
    <w:p>
      <w:pPr>
        <w:pStyle w:val="56"/>
        <w:ind w:firstLine="420"/>
      </w:pPr>
      <w:r>
        <w:rPr>
          <w:rFonts w:hint="eastAsia"/>
        </w:rPr>
        <w:t>GB/T 28827.4-2019 信息技术服务 运行维护 第4部分：数据中心服务要求</w:t>
      </w:r>
    </w:p>
    <w:p>
      <w:pPr>
        <w:pStyle w:val="56"/>
        <w:ind w:firstLine="420"/>
      </w:pPr>
      <w:r>
        <w:rPr>
          <w:rFonts w:hint="eastAsia"/>
        </w:rPr>
        <w:t>GB/T 21061-2007 国家电子政务网络技术和运行管理规范</w:t>
      </w:r>
    </w:p>
    <w:p>
      <w:pPr>
        <w:pStyle w:val="104"/>
        <w:spacing w:before="312" w:after="312"/>
      </w:pPr>
      <w:bookmarkStart w:id="49" w:name="_Toc180756472"/>
      <w:bookmarkStart w:id="50" w:name="_Toc180753591"/>
      <w:bookmarkStart w:id="51" w:name="_Toc97191425"/>
      <w:r>
        <w:rPr>
          <w:rFonts w:hint="eastAsia"/>
        </w:rPr>
        <w:t>术语和定义</w:t>
      </w:r>
      <w:bookmarkEnd w:id="49"/>
      <w:bookmarkEnd w:id="50"/>
      <w:bookmarkEnd w:id="51"/>
    </w:p>
    <w:sdt>
      <w:sdtPr>
        <w:id w:val="-1909835108"/>
        <w:placeholder>
          <w:docPart w:val="C4999AE50571471C8F5F066B1EEC590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2" w:name="_Toc26986532"/>
          <w:bookmarkEnd w:id="52"/>
          <w:r>
            <w:t>下列术语和定义适用于本文件。</w:t>
          </w:r>
        </w:p>
      </w:sdtContent>
    </w:sdt>
    <w:p>
      <w:pPr>
        <w:pStyle w:val="56"/>
        <w:ind w:firstLine="420"/>
      </w:pPr>
    </w:p>
    <w:p>
      <w:pPr>
        <w:pStyle w:val="105"/>
        <w:spacing w:before="156" w:after="156"/>
      </w:pPr>
      <w:bookmarkStart w:id="53" w:name="_Toc180753592"/>
      <w:bookmarkStart w:id="54" w:name="_Toc180756473"/>
      <w:r>
        <w:rPr>
          <w:rFonts w:hint="eastAsia"/>
        </w:rPr>
        <w:t>日常巡检</w:t>
      </w:r>
      <w:bookmarkEnd w:id="53"/>
      <w:bookmarkEnd w:id="54"/>
    </w:p>
    <w:p>
      <w:pPr>
        <w:pStyle w:val="56"/>
        <w:ind w:firstLine="420"/>
      </w:pPr>
      <w:r>
        <w:rPr>
          <w:rFonts w:hint="eastAsia"/>
        </w:rPr>
        <w:t>为适应平台环境和其他因素的变化，发现潜在问题，预防故障发生以及及时修复出现的问题，以确保平台的高效、稳定运行，而对平台进行的定期或不定期的检查、监测和评估等操作。</w:t>
      </w:r>
    </w:p>
    <w:p>
      <w:pPr>
        <w:pStyle w:val="105"/>
        <w:spacing w:before="156" w:after="156"/>
      </w:pPr>
      <w:bookmarkStart w:id="55" w:name="_Toc180756474"/>
      <w:bookmarkStart w:id="56" w:name="_Toc180753593"/>
      <w:r>
        <w:rPr>
          <w:rFonts w:hint="eastAsia"/>
        </w:rPr>
        <w:t>应急事件</w:t>
      </w:r>
      <w:bookmarkEnd w:id="55"/>
      <w:bookmarkEnd w:id="56"/>
    </w:p>
    <w:p>
      <w:pPr>
        <w:pStyle w:val="56"/>
        <w:ind w:firstLine="420"/>
      </w:pPr>
      <w:r>
        <w:rPr>
          <w:rFonts w:hint="eastAsia"/>
        </w:rPr>
        <w:t>日常巡检异常、平台预警、用户报障以及灾害事故等未曾预防突然发生，需要紧急处理的事件。</w:t>
      </w:r>
    </w:p>
    <w:p>
      <w:pPr>
        <w:pStyle w:val="105"/>
        <w:spacing w:before="156" w:after="156"/>
      </w:pPr>
      <w:bookmarkStart w:id="57" w:name="_Toc180753594"/>
      <w:bookmarkStart w:id="58" w:name="_Toc180756475"/>
      <w:r>
        <w:rPr>
          <w:rFonts w:hint="eastAsia"/>
        </w:rPr>
        <w:t>应急处置</w:t>
      </w:r>
      <w:bookmarkEnd w:id="57"/>
      <w:bookmarkEnd w:id="58"/>
    </w:p>
    <w:p>
      <w:pPr>
        <w:pStyle w:val="56"/>
        <w:ind w:firstLine="420"/>
      </w:pPr>
      <w:r>
        <w:rPr>
          <w:rFonts w:hint="eastAsia"/>
        </w:rPr>
        <w:t>针对平台运行中出现的故障和问题，通过快速定位、分析原因，并执行相应的应急操作，以恢复平台正常功能，减少业务影响。</w:t>
      </w:r>
    </w:p>
    <w:p>
      <w:pPr>
        <w:pStyle w:val="104"/>
        <w:spacing w:before="312" w:after="312"/>
      </w:pPr>
      <w:bookmarkStart w:id="59" w:name="_Toc180756476"/>
      <w:bookmarkStart w:id="60" w:name="_Toc180753595"/>
      <w:r>
        <w:rPr>
          <w:rFonts w:hint="eastAsia"/>
        </w:rPr>
        <w:t>总体架构</w:t>
      </w:r>
      <w:bookmarkEnd w:id="59"/>
      <w:bookmarkEnd w:id="60"/>
    </w:p>
    <w:p>
      <w:pPr>
        <w:pStyle w:val="56"/>
        <w:ind w:firstLine="0" w:firstLineChars="0"/>
        <w:jc w:val="center"/>
      </w:pPr>
      <w:r>
        <w:drawing>
          <wp:inline distT="0" distB="0" distL="114300" distR="114300">
            <wp:extent cx="5587365" cy="2860675"/>
            <wp:effectExtent l="0" t="0" r="13335" b="1587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33"/>
                    <a:stretch>
                      <a:fillRect/>
                    </a:stretch>
                  </pic:blipFill>
                  <pic:spPr>
                    <a:xfrm>
                      <a:off x="0" y="0"/>
                      <a:ext cx="5587365" cy="2860675"/>
                    </a:xfrm>
                    <a:prstGeom prst="rect">
                      <a:avLst/>
                    </a:prstGeom>
                    <a:noFill/>
                    <a:ln>
                      <a:noFill/>
                    </a:ln>
                  </pic:spPr>
                </pic:pic>
              </a:graphicData>
            </a:graphic>
          </wp:inline>
        </w:drawing>
      </w:r>
    </w:p>
    <w:p>
      <w:pPr>
        <w:pStyle w:val="114"/>
        <w:spacing w:before="156" w:after="156"/>
      </w:pPr>
      <w:r>
        <w:rPr>
          <w:rFonts w:hint="eastAsia"/>
        </w:rPr>
        <w:t xml:space="preserve"> 公共数据平台日常巡检及应急处置流程</w:t>
      </w:r>
    </w:p>
    <w:p>
      <w:pPr>
        <w:pStyle w:val="56"/>
        <w:ind w:firstLine="420"/>
        <w:jc w:val="left"/>
      </w:pPr>
      <w:r>
        <w:rPr>
          <w:rFonts w:hint="eastAsia"/>
        </w:rPr>
        <w:t xml:space="preserve">平台日常巡检及应急处置流程如图1所示，主要包含平台常规的日常运行巡检、平台预警与报障，事件上报以及应急事件分级和应急处置，具体流程如下： </w:t>
      </w:r>
    </w:p>
    <w:p>
      <w:pPr>
        <w:pStyle w:val="56"/>
        <w:ind w:firstLine="420"/>
        <w:jc w:val="left"/>
      </w:pPr>
      <w:r>
        <w:rPr>
          <w:rFonts w:hint="eastAsia"/>
        </w:rPr>
        <w:t>a)根据巡检计划定期对平台进行运行巡检，针对运行环境检查项对平台进行运行环境巡检，针对功能服务检查项对平台进行功能服务巡检，填写巡检表；</w:t>
      </w:r>
    </w:p>
    <w:p>
      <w:pPr>
        <w:pStyle w:val="56"/>
        <w:ind w:firstLine="420"/>
        <w:jc w:val="left"/>
      </w:pPr>
      <w:r>
        <w:rPr>
          <w:rFonts w:hint="eastAsia"/>
        </w:rPr>
        <w:t>b)平台系统通过自动预警机制可以发出系统故障警示，平台用户也可以在使用过程中申报故障，安全部门对平台实施监控可以发出故障警示；</w:t>
      </w:r>
    </w:p>
    <w:p>
      <w:pPr>
        <w:pStyle w:val="56"/>
        <w:ind w:firstLine="420"/>
        <w:jc w:val="left"/>
      </w:pPr>
      <w:r>
        <w:rPr>
          <w:rFonts w:hint="eastAsia"/>
        </w:rPr>
        <w:t>c)对巡检表中的事件，平台预警、用户报障、安全部门预警等产生的事件进行事件上报，形成巡检报告，若产生的事件超出预定的阀值范围，将事件认定为应急事件，进入应急处置程序；</w:t>
      </w:r>
    </w:p>
    <w:p>
      <w:pPr>
        <w:pStyle w:val="56"/>
        <w:ind w:firstLine="420"/>
        <w:jc w:val="left"/>
      </w:pPr>
      <w:r>
        <w:rPr>
          <w:rFonts w:hint="eastAsia"/>
        </w:rPr>
        <w:t>d)维护处置程序对应急事件根据事件分级标准对事件分级，按照应急响应流程对分级后的事件进行不同等级的应急处置，并形成应急事件处置报告。</w:t>
      </w:r>
    </w:p>
    <w:p>
      <w:pPr>
        <w:pStyle w:val="56"/>
        <w:ind w:firstLine="420"/>
        <w:jc w:val="left"/>
      </w:pPr>
      <w:r>
        <w:rPr>
          <w:rFonts w:hint="eastAsia"/>
        </w:rPr>
        <w:t>市公共数据运行管理机构统筹公共数据平台日常巡检、应急处置等工作，各县（区）公共数据运行管理机构配合；数据平台运维团队具体负责平台巡检、应急事件上报处置等。</w:t>
      </w:r>
    </w:p>
    <w:p>
      <w:pPr>
        <w:pStyle w:val="105"/>
        <w:spacing w:before="156" w:after="156"/>
      </w:pPr>
      <w:bookmarkStart w:id="61" w:name="_Toc180756477"/>
      <w:bookmarkStart w:id="62" w:name="_Toc180753596"/>
      <w:r>
        <w:rPr>
          <w:rFonts w:hint="eastAsia"/>
        </w:rPr>
        <w:t>平台日常巡检</w:t>
      </w:r>
      <w:bookmarkEnd w:id="61"/>
      <w:bookmarkEnd w:id="62"/>
    </w:p>
    <w:p>
      <w:pPr>
        <w:pStyle w:val="65"/>
        <w:spacing w:before="156" w:after="156"/>
      </w:pPr>
      <w:bookmarkStart w:id="63" w:name="_Toc180756478"/>
      <w:r>
        <w:rPr>
          <w:rFonts w:hint="eastAsia"/>
        </w:rPr>
        <w:t>巡检内容</w:t>
      </w:r>
      <w:bookmarkEnd w:id="63"/>
    </w:p>
    <w:p>
      <w:pPr>
        <w:pStyle w:val="56"/>
        <w:ind w:firstLine="420"/>
      </w:pPr>
      <w:r>
        <w:rPr>
          <w:rFonts w:hint="eastAsia"/>
        </w:rPr>
        <w:t>平台巡检内容包括系统运行环境检查和系统功能服务状态检查两大模块。</w:t>
      </w:r>
    </w:p>
    <w:p>
      <w:pPr>
        <w:pStyle w:val="56"/>
        <w:ind w:firstLine="420"/>
      </w:pPr>
      <w:r>
        <w:rPr>
          <w:rFonts w:hint="eastAsia"/>
        </w:rPr>
        <w:t>a)系统运行环境包括：CPU占用率、内存占用率、磁盘占用率、服务器时间等。其中 CPU占用率、内存占用率和磁盘占用率的阈值根据平台数据环境设定。</w:t>
      </w:r>
    </w:p>
    <w:p>
      <w:pPr>
        <w:pStyle w:val="56"/>
        <w:ind w:firstLine="420"/>
      </w:pPr>
      <w:r>
        <w:rPr>
          <w:rFonts w:hint="eastAsia"/>
        </w:rPr>
        <w:t>b)系统功能服务状态包括：账号状态、API服务状态、调度任务运行情况、平台各模块访问状态等。</w:t>
      </w:r>
    </w:p>
    <w:p>
      <w:pPr>
        <w:pStyle w:val="65"/>
        <w:spacing w:before="156" w:after="156"/>
      </w:pPr>
      <w:bookmarkStart w:id="64" w:name="_Toc180756479"/>
      <w:r>
        <w:rPr>
          <w:rFonts w:hint="eastAsia"/>
        </w:rPr>
        <w:t>巡检计划</w:t>
      </w:r>
      <w:bookmarkEnd w:id="64"/>
    </w:p>
    <w:p>
      <w:pPr>
        <w:pStyle w:val="56"/>
        <w:ind w:firstLine="420"/>
        <w:rPr>
          <w:color w:val="FF0000"/>
        </w:rPr>
      </w:pPr>
      <w:r>
        <w:rPr>
          <w:rFonts w:hint="eastAsia"/>
        </w:rPr>
        <w:t>根据平台系统运行环境以及系统功能服务的实际运行情况设定巡检计划，巡检人员将根据服务器的CPU、内存、硬盘使用率、网络设备的运行状态、操作系统的漏洞修复和更新情况、数据库的性能和备份情况、用户权限设置、平台响应情况等开展日常巡检。法定节假日及重保期间，可单独制定相应的巡检计划，保障系统正常运行。</w:t>
      </w:r>
    </w:p>
    <w:p>
      <w:pPr>
        <w:pStyle w:val="65"/>
        <w:spacing w:before="156" w:after="156"/>
      </w:pPr>
      <w:bookmarkStart w:id="65" w:name="_Toc180756480"/>
      <w:r>
        <w:rPr>
          <w:rFonts w:hint="eastAsia"/>
        </w:rPr>
        <w:t>巡检问责</w:t>
      </w:r>
      <w:bookmarkEnd w:id="65"/>
    </w:p>
    <w:p>
      <w:pPr>
        <w:pStyle w:val="56"/>
        <w:ind w:firstLine="420"/>
      </w:pPr>
      <w:r>
        <w:rPr>
          <w:rFonts w:hint="eastAsia"/>
        </w:rPr>
        <w:t>巡检遵循首问责任制，巡检人员对巡检中发现问题记录应急事件编号并进行全程跟踪，直至问题解决。如未严格遵守巡检内容和巡检规则，或未及时归档导致相关问题，可对相关人员进行追责，造成严重影响的，报上级部门进行处置。</w:t>
      </w:r>
    </w:p>
    <w:p>
      <w:pPr>
        <w:pStyle w:val="65"/>
        <w:spacing w:before="156" w:after="156"/>
      </w:pPr>
      <w:bookmarkStart w:id="66" w:name="_Toc180756481"/>
      <w:r>
        <w:rPr>
          <w:rFonts w:hint="eastAsia"/>
        </w:rPr>
        <w:t>巡检报告</w:t>
      </w:r>
      <w:bookmarkEnd w:id="66"/>
    </w:p>
    <w:p>
      <w:pPr>
        <w:pStyle w:val="56"/>
        <w:ind w:firstLine="420"/>
      </w:pPr>
      <w:r>
        <w:rPr>
          <w:rFonts w:hint="eastAsia"/>
        </w:rPr>
        <w:t>巡检结束，巡检人员需要填写宿迁市公共数据巡检报告，巡检报告如附录</w:t>
      </w:r>
      <w:r>
        <w:t>A</w:t>
      </w:r>
      <w:r>
        <w:rPr>
          <w:rFonts w:hint="eastAsia"/>
        </w:rPr>
        <w:t>所示。</w:t>
      </w:r>
    </w:p>
    <w:p>
      <w:pPr>
        <w:pStyle w:val="105"/>
        <w:spacing w:before="156" w:after="156"/>
      </w:pPr>
      <w:bookmarkStart w:id="67" w:name="_Toc180753597"/>
      <w:bookmarkStart w:id="68" w:name="_Toc180756482"/>
      <w:r>
        <w:rPr>
          <w:rFonts w:hint="eastAsia"/>
        </w:rPr>
        <w:t>预警与报障</w:t>
      </w:r>
      <w:bookmarkEnd w:id="67"/>
      <w:bookmarkEnd w:id="68"/>
    </w:p>
    <w:p>
      <w:pPr>
        <w:pStyle w:val="56"/>
        <w:ind w:firstLine="420"/>
      </w:pPr>
      <w:r>
        <w:rPr>
          <w:rFonts w:hint="eastAsia"/>
        </w:rPr>
        <w:t>平台系统在运行过程中，通过自动预警机制可以发出系统故障警示；用户在使用系统平台过程中遇到故障反馈故障情况；安全监管部门履职过程中发现的故障问题以及其他来源的报障，形成相应的事件。</w:t>
      </w:r>
    </w:p>
    <w:p>
      <w:pPr>
        <w:pStyle w:val="105"/>
        <w:spacing w:before="156" w:after="156"/>
      </w:pPr>
      <w:bookmarkStart w:id="69" w:name="_Toc180753598"/>
      <w:bookmarkStart w:id="70" w:name="_Toc180756483"/>
      <w:r>
        <w:rPr>
          <w:rFonts w:hint="eastAsia"/>
        </w:rPr>
        <w:t>事件上报</w:t>
      </w:r>
      <w:bookmarkEnd w:id="69"/>
      <w:bookmarkEnd w:id="70"/>
    </w:p>
    <w:p>
      <w:pPr>
        <w:pStyle w:val="56"/>
        <w:ind w:firstLine="420"/>
      </w:pPr>
      <w:r>
        <w:rPr>
          <w:rFonts w:hint="eastAsia"/>
        </w:rPr>
        <w:t>将日常巡检结果、预警与报障模块产生的事件等进行事件上报，形成巡检报告，对超出预定阈值范围的事件认定为应急事件。</w:t>
      </w:r>
    </w:p>
    <w:p>
      <w:pPr>
        <w:pStyle w:val="105"/>
        <w:spacing w:before="156" w:after="156"/>
      </w:pPr>
      <w:bookmarkStart w:id="71" w:name="_Toc180753599"/>
      <w:bookmarkStart w:id="72" w:name="_Toc180756484"/>
      <w:r>
        <w:rPr>
          <w:rFonts w:hint="eastAsia"/>
        </w:rPr>
        <w:t>平台应急处置</w:t>
      </w:r>
      <w:bookmarkEnd w:id="71"/>
      <w:bookmarkEnd w:id="72"/>
    </w:p>
    <w:p>
      <w:pPr>
        <w:pStyle w:val="65"/>
        <w:spacing w:before="156" w:after="156"/>
      </w:pPr>
      <w:bookmarkStart w:id="73" w:name="_Toc180756485"/>
      <w:r>
        <w:rPr>
          <w:rFonts w:hint="eastAsia"/>
        </w:rPr>
        <w:t>应急事件分级</w:t>
      </w:r>
      <w:bookmarkEnd w:id="73"/>
    </w:p>
    <w:p>
      <w:pPr>
        <w:pStyle w:val="56"/>
        <w:ind w:firstLine="420"/>
      </w:pPr>
      <w:r>
        <w:rPr>
          <w:rFonts w:hint="eastAsia"/>
        </w:rPr>
        <w:t>根据应急事件的特点及所产生的影响程度，将应急事件分为三级响应：Ⅰ级（重大事件）、Ⅱ级（较大事件）、Ⅲ级（一般事件）。</w:t>
      </w:r>
    </w:p>
    <w:p>
      <w:pPr>
        <w:pStyle w:val="56"/>
        <w:ind w:firstLine="420"/>
      </w:pPr>
      <w:r>
        <w:rPr>
          <w:rFonts w:hint="eastAsia"/>
        </w:rPr>
        <w:t>根据应急事件的表现类型分为：平台功能异常、数据安全异常、网络安全异常。</w:t>
      </w:r>
    </w:p>
    <w:p>
      <w:pPr>
        <w:pStyle w:val="112"/>
        <w:spacing w:before="156" w:after="156"/>
      </w:pPr>
      <w:r>
        <w:rPr>
          <w:rFonts w:hint="eastAsia"/>
        </w:rPr>
        <w:t>应急事件分级</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95"/>
        <w:gridCol w:w="2422"/>
        <w:gridCol w:w="2423"/>
        <w:gridCol w:w="242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1" w:hRule="atLeast"/>
          <w:tblHeader/>
          <w:jc w:val="center"/>
        </w:trPr>
        <w:tc>
          <w:tcPr>
            <w:tcW w:w="995" w:type="dxa"/>
            <w:tcBorders>
              <w:top w:val="single" w:color="auto" w:sz="8" w:space="0"/>
              <w:bottom w:val="single" w:color="auto" w:sz="8" w:space="0"/>
            </w:tcBorders>
            <w:shd w:val="clear" w:color="auto" w:fill="auto"/>
            <w:vAlign w:val="center"/>
          </w:tcPr>
          <w:p>
            <w:pPr>
              <w:pStyle w:val="178"/>
            </w:pPr>
            <w:r>
              <w:rPr>
                <w:rFonts w:hint="eastAsia"/>
              </w:rPr>
              <w:t>类型</w:t>
            </w:r>
          </w:p>
        </w:tc>
        <w:tc>
          <w:tcPr>
            <w:tcW w:w="2422" w:type="dxa"/>
            <w:tcBorders>
              <w:top w:val="single" w:color="auto" w:sz="8" w:space="0"/>
              <w:bottom w:val="single" w:color="auto" w:sz="8" w:space="0"/>
            </w:tcBorders>
            <w:shd w:val="clear" w:color="auto" w:fill="auto"/>
            <w:vAlign w:val="center"/>
          </w:tcPr>
          <w:p>
            <w:pPr>
              <w:pStyle w:val="178"/>
            </w:pPr>
            <w:r>
              <w:rPr>
                <w:rFonts w:hint="eastAsia"/>
              </w:rPr>
              <w:t>平台功能</w:t>
            </w:r>
          </w:p>
        </w:tc>
        <w:tc>
          <w:tcPr>
            <w:tcW w:w="2423" w:type="dxa"/>
            <w:tcBorders>
              <w:top w:val="single" w:color="auto" w:sz="8" w:space="0"/>
              <w:bottom w:val="single" w:color="auto" w:sz="8" w:space="0"/>
            </w:tcBorders>
            <w:shd w:val="clear" w:color="auto" w:fill="auto"/>
            <w:vAlign w:val="center"/>
          </w:tcPr>
          <w:p>
            <w:pPr>
              <w:pStyle w:val="178"/>
            </w:pPr>
            <w:r>
              <w:rPr>
                <w:rFonts w:hint="eastAsia"/>
              </w:rPr>
              <w:t>数据安全</w:t>
            </w:r>
          </w:p>
        </w:tc>
        <w:tc>
          <w:tcPr>
            <w:tcW w:w="2423" w:type="dxa"/>
            <w:tcBorders>
              <w:top w:val="single" w:color="auto" w:sz="8" w:space="0"/>
              <w:bottom w:val="single" w:color="auto" w:sz="8" w:space="0"/>
            </w:tcBorders>
            <w:shd w:val="clear" w:color="auto" w:fill="auto"/>
            <w:vAlign w:val="center"/>
          </w:tcPr>
          <w:p>
            <w:pPr>
              <w:pStyle w:val="178"/>
            </w:pPr>
            <w:r>
              <w:rPr>
                <w:rFonts w:hint="eastAsia"/>
              </w:rPr>
              <w:t>网络安全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20" w:hRule="atLeast"/>
          <w:jc w:val="center"/>
        </w:trPr>
        <w:tc>
          <w:tcPr>
            <w:tcW w:w="995" w:type="dxa"/>
            <w:tcBorders>
              <w:top w:val="single" w:color="auto" w:sz="8" w:space="0"/>
            </w:tcBorders>
            <w:shd w:val="clear" w:color="auto" w:fill="auto"/>
            <w:vAlign w:val="center"/>
          </w:tcPr>
          <w:p>
            <w:pPr>
              <w:pStyle w:val="178"/>
            </w:pPr>
            <w:r>
              <w:t>Ⅰ</w:t>
            </w:r>
            <w:r>
              <w:rPr>
                <w:rFonts w:hint="eastAsia"/>
              </w:rPr>
              <w:t>级</w:t>
            </w:r>
          </w:p>
        </w:tc>
        <w:tc>
          <w:tcPr>
            <w:tcW w:w="2422" w:type="dxa"/>
            <w:tcBorders>
              <w:top w:val="single" w:color="auto" w:sz="8" w:space="0"/>
            </w:tcBorders>
            <w:shd w:val="clear" w:color="auto" w:fill="auto"/>
            <w:vAlign w:val="center"/>
          </w:tcPr>
          <w:p>
            <w:pPr>
              <w:pStyle w:val="178"/>
              <w:jc w:val="both"/>
            </w:pPr>
            <w:r>
              <w:rPr>
                <w:rFonts w:hint="eastAsia"/>
              </w:rPr>
              <w:t>平台瘫痪无法访问使用或核心业务如数据采集服务、A</w:t>
            </w:r>
            <w:r>
              <w:t>PI</w:t>
            </w:r>
            <w:r>
              <w:rPr>
                <w:rFonts w:hint="eastAsia"/>
              </w:rPr>
              <w:t>接口服务异常</w:t>
            </w:r>
          </w:p>
        </w:tc>
        <w:tc>
          <w:tcPr>
            <w:tcW w:w="2423" w:type="dxa"/>
            <w:tcBorders>
              <w:top w:val="single" w:color="auto" w:sz="8" w:space="0"/>
            </w:tcBorders>
            <w:shd w:val="clear" w:color="auto" w:fill="auto"/>
            <w:vAlign w:val="center"/>
          </w:tcPr>
          <w:p>
            <w:pPr>
              <w:pStyle w:val="178"/>
              <w:jc w:val="both"/>
            </w:pPr>
            <w:r>
              <w:rPr>
                <w:rFonts w:hint="eastAsia"/>
              </w:rPr>
              <w:t>敏感信息丢失、泄露或被篡改，已造成影响或舆情，或数据无法恢复</w:t>
            </w:r>
          </w:p>
        </w:tc>
        <w:tc>
          <w:tcPr>
            <w:tcW w:w="2423" w:type="dxa"/>
            <w:tcBorders>
              <w:top w:val="single" w:color="auto" w:sz="8" w:space="0"/>
            </w:tcBorders>
            <w:shd w:val="clear" w:color="auto" w:fill="auto"/>
            <w:vAlign w:val="center"/>
          </w:tcPr>
          <w:p>
            <w:pPr>
              <w:pStyle w:val="178"/>
              <w:jc w:val="both"/>
            </w:pPr>
            <w:r>
              <w:rPr>
                <w:rFonts w:hint="eastAsia"/>
              </w:rPr>
              <w:t>1.巡检发现可疑网络攻击或者入侵等事件，且已造成影响</w:t>
            </w:r>
          </w:p>
          <w:p>
            <w:pPr>
              <w:pStyle w:val="178"/>
              <w:jc w:val="both"/>
            </w:pPr>
            <w:r>
              <w:t>2.</w:t>
            </w:r>
            <w:r>
              <w:rPr>
                <w:rFonts w:hint="eastAsia"/>
              </w:rPr>
              <w:t>网络中断导致平台无法访问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44" w:hRule="atLeast"/>
          <w:jc w:val="center"/>
        </w:trPr>
        <w:tc>
          <w:tcPr>
            <w:tcW w:w="995" w:type="dxa"/>
            <w:shd w:val="clear" w:color="auto" w:fill="auto"/>
            <w:vAlign w:val="center"/>
          </w:tcPr>
          <w:p>
            <w:pPr>
              <w:pStyle w:val="178"/>
            </w:pPr>
            <w:r>
              <w:t>Ⅱ</w:t>
            </w:r>
            <w:r>
              <w:rPr>
                <w:rFonts w:hint="eastAsia"/>
              </w:rPr>
              <w:t>级</w:t>
            </w:r>
          </w:p>
        </w:tc>
        <w:tc>
          <w:tcPr>
            <w:tcW w:w="2422" w:type="dxa"/>
            <w:shd w:val="clear" w:color="auto" w:fill="auto"/>
            <w:vAlign w:val="center"/>
          </w:tcPr>
          <w:p>
            <w:pPr>
              <w:pStyle w:val="178"/>
              <w:jc w:val="both"/>
            </w:pPr>
            <w:r>
              <w:rPr>
                <w:rFonts w:hint="eastAsia"/>
              </w:rPr>
              <w:t>平台单一或部分非核心功能使用异常</w:t>
            </w:r>
          </w:p>
        </w:tc>
        <w:tc>
          <w:tcPr>
            <w:tcW w:w="2423" w:type="dxa"/>
            <w:shd w:val="clear" w:color="auto" w:fill="auto"/>
            <w:vAlign w:val="center"/>
          </w:tcPr>
          <w:p>
            <w:pPr>
              <w:pStyle w:val="178"/>
              <w:jc w:val="both"/>
            </w:pPr>
            <w:r>
              <w:rPr>
                <w:rFonts w:hint="eastAsia"/>
              </w:rPr>
              <w:t>敏感信息丢失或被篡改，但未造成影响，或数据恢复困难成本高</w:t>
            </w:r>
          </w:p>
        </w:tc>
        <w:tc>
          <w:tcPr>
            <w:tcW w:w="2423" w:type="dxa"/>
            <w:shd w:val="clear" w:color="auto" w:fill="auto"/>
            <w:vAlign w:val="center"/>
          </w:tcPr>
          <w:p>
            <w:pPr>
              <w:pStyle w:val="178"/>
              <w:jc w:val="both"/>
            </w:pPr>
            <w:r>
              <w:rPr>
                <w:rFonts w:hint="eastAsia"/>
              </w:rPr>
              <w:t>巡检发现可疑网络攻击或者入侵等事件，但未攻破安全保障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995" w:type="dxa"/>
            <w:shd w:val="clear" w:color="auto" w:fill="auto"/>
            <w:vAlign w:val="center"/>
          </w:tcPr>
          <w:p>
            <w:pPr>
              <w:pStyle w:val="178"/>
            </w:pPr>
            <w:r>
              <w:rPr>
                <w:rFonts w:ascii="Times New Roman"/>
              </w:rPr>
              <w:t>Ⅲ</w:t>
            </w:r>
            <w:r>
              <w:rPr>
                <w:rFonts w:hint="eastAsia"/>
              </w:rPr>
              <w:t>级</w:t>
            </w:r>
          </w:p>
        </w:tc>
        <w:tc>
          <w:tcPr>
            <w:tcW w:w="2422" w:type="dxa"/>
            <w:shd w:val="clear" w:color="auto" w:fill="auto"/>
            <w:vAlign w:val="center"/>
          </w:tcPr>
          <w:p>
            <w:pPr>
              <w:pStyle w:val="178"/>
              <w:jc w:val="both"/>
            </w:pPr>
            <w:r>
              <w:rPr>
                <w:rFonts w:hint="eastAsia"/>
              </w:rPr>
              <w:t>平台功能正常但响应缓慢</w:t>
            </w:r>
          </w:p>
        </w:tc>
        <w:tc>
          <w:tcPr>
            <w:tcW w:w="2423" w:type="dxa"/>
            <w:shd w:val="clear" w:color="auto" w:fill="auto"/>
            <w:vAlign w:val="center"/>
          </w:tcPr>
          <w:p>
            <w:pPr>
              <w:pStyle w:val="178"/>
              <w:jc w:val="both"/>
            </w:pPr>
            <w:r>
              <w:rPr>
                <w:rFonts w:hint="eastAsia"/>
              </w:rPr>
              <w:t>非敏感信息丢失或被篡改，且未造成影响，数据容易恢复</w:t>
            </w:r>
          </w:p>
        </w:tc>
        <w:tc>
          <w:tcPr>
            <w:tcW w:w="2423" w:type="dxa"/>
            <w:shd w:val="clear" w:color="auto" w:fill="auto"/>
            <w:vAlign w:val="center"/>
          </w:tcPr>
          <w:p>
            <w:pPr>
              <w:pStyle w:val="178"/>
              <w:jc w:val="both"/>
            </w:pPr>
            <w:r>
              <w:rPr>
                <w:rFonts w:hint="eastAsia"/>
              </w:rPr>
              <w:t>网络出现波动，造成访问缓慢</w:t>
            </w:r>
          </w:p>
        </w:tc>
      </w:tr>
    </w:tbl>
    <w:p>
      <w:pPr>
        <w:pStyle w:val="56"/>
        <w:ind w:firstLine="420"/>
      </w:pPr>
      <w:r>
        <w:rPr>
          <w:rFonts w:hint="eastAsia"/>
        </w:rPr>
        <w:t>注：符合上表中任意一种情况则为相应等级事件</w:t>
      </w:r>
    </w:p>
    <w:p>
      <w:pPr>
        <w:pStyle w:val="65"/>
        <w:spacing w:before="156" w:after="156"/>
      </w:pPr>
      <w:bookmarkStart w:id="74" w:name="_Toc180756486"/>
      <w:r>
        <w:rPr>
          <w:rFonts w:hint="eastAsia"/>
        </w:rPr>
        <w:t>应急处置流程</w:t>
      </w:r>
      <w:bookmarkEnd w:id="74"/>
    </w:p>
    <w:p>
      <w:pPr>
        <w:pStyle w:val="56"/>
        <w:ind w:firstLine="420"/>
      </w:pPr>
      <w:r>
        <w:rPr>
          <w:rFonts w:hint="eastAsia"/>
        </w:rPr>
        <w:t>成立应急响应领导小组，小组组长由公共数据平台运维团队项目经理担任，成员由技术保障岗、数据开发岗、运营支撑岗组成。平台应急响应采用组长负责制，响应小组组长需要全程负责事件的处置和复盘，响应小组人员需按要求执行组长应急处置工作安排，详细流程如图2所示。</w:t>
      </w:r>
    </w:p>
    <w:p>
      <w:pPr>
        <w:pStyle w:val="56"/>
        <w:ind w:firstLine="420"/>
        <w:jc w:val="center"/>
      </w:pPr>
      <w:r>
        <w:object>
          <v:shape id="_x0000_i1025" o:spt="75" type="#_x0000_t75" style="height:350pt;width:376.25pt;" o:ole="t" filled="f" o:preferrelative="t" stroked="f" coordsize="21600,21600">
            <v:path/>
            <v:fill on="f" focussize="0,0"/>
            <v:stroke on="f" joinstyle="miter"/>
            <v:imagedata r:id="rId35" o:title=""/>
            <o:lock v:ext="edit" aspectratio="t"/>
            <w10:wrap type="none"/>
            <w10:anchorlock/>
          </v:shape>
          <o:OLEObject Type="Embed" ProgID="Visio.Drawing.11" ShapeID="_x0000_i1025" DrawAspect="Content" ObjectID="_1468075725" r:id="rId34">
            <o:LockedField>false</o:LockedField>
          </o:OLEObject>
        </w:object>
      </w:r>
    </w:p>
    <w:p>
      <w:pPr>
        <w:pStyle w:val="114"/>
        <w:spacing w:before="156" w:after="156"/>
      </w:pPr>
      <w:r>
        <w:rPr>
          <w:rFonts w:hint="eastAsia"/>
        </w:rPr>
        <w:t>应急事件处置流程图</w:t>
      </w:r>
    </w:p>
    <w:p>
      <w:pPr>
        <w:pStyle w:val="94"/>
        <w:spacing w:before="156" w:after="156"/>
      </w:pPr>
      <w:r>
        <w:rPr>
          <w:rFonts w:hint="eastAsia"/>
        </w:rPr>
        <w:t>I级应急响应</w:t>
      </w:r>
    </w:p>
    <w:p>
      <w:pPr>
        <w:pStyle w:val="56"/>
        <w:numPr>
          <w:ilvl w:val="0"/>
          <w:numId w:val="32"/>
        </w:numPr>
        <w:ind w:firstLine="420"/>
      </w:pPr>
      <w:r>
        <w:rPr>
          <w:rFonts w:hint="eastAsia"/>
        </w:rPr>
        <w:t>运维值班人员应及时与政务云值班人员沟通，进行必要止损操作，包括平台断网、停机等操作确保及时止损、阻断入侵等；同时须30分钟内上报至市公共数据运行管理机构主要领导；</w:t>
      </w:r>
    </w:p>
    <w:p>
      <w:pPr>
        <w:pStyle w:val="56"/>
        <w:numPr>
          <w:ilvl w:val="0"/>
          <w:numId w:val="32"/>
        </w:numPr>
        <w:ind w:firstLine="420"/>
      </w:pPr>
      <w:r>
        <w:rPr>
          <w:rFonts w:hint="eastAsia"/>
        </w:rPr>
        <w:t>运维值班人员应迅速通知响应小组组长；</w:t>
      </w:r>
    </w:p>
    <w:p>
      <w:pPr>
        <w:pStyle w:val="56"/>
        <w:ind w:firstLine="420"/>
      </w:pPr>
      <w:r>
        <w:rPr>
          <w:rFonts w:hint="eastAsia"/>
        </w:rPr>
        <w:t>（3）响应小组组长应及时汇总事件情况并上报响应小组相关领导及相关受影响单位和部门；</w:t>
      </w:r>
    </w:p>
    <w:p>
      <w:pPr>
        <w:pStyle w:val="56"/>
        <w:ind w:firstLine="420"/>
      </w:pPr>
      <w:r>
        <w:rPr>
          <w:rFonts w:hint="eastAsia"/>
        </w:rPr>
        <w:t>（4）应急事件发生后，响应小组全体人员应当立即赶至项目现场；</w:t>
      </w:r>
    </w:p>
    <w:p>
      <w:pPr>
        <w:pStyle w:val="56"/>
        <w:ind w:firstLine="420"/>
      </w:pPr>
      <w:r>
        <w:rPr>
          <w:rFonts w:hint="eastAsia"/>
        </w:rPr>
        <w:t>（5）响应小组组长应立即组织相关技术人员开展应急事件排查与处置，并按照响应小组指示开展整体工作；</w:t>
      </w:r>
    </w:p>
    <w:p>
      <w:pPr>
        <w:pStyle w:val="56"/>
        <w:ind w:firstLine="420"/>
      </w:pPr>
      <w:r>
        <w:rPr>
          <w:rFonts w:hint="eastAsia"/>
        </w:rPr>
        <w:t>（6）响应小组组长需根据实际情况及时向响应小组汇报处置进展；</w:t>
      </w:r>
    </w:p>
    <w:p>
      <w:pPr>
        <w:pStyle w:val="56"/>
        <w:ind w:firstLine="420"/>
      </w:pPr>
      <w:r>
        <w:rPr>
          <w:rFonts w:hint="eastAsia"/>
        </w:rPr>
        <w:t>（7）根据实际情况，可分模块恢复系统，减轻平台故障导致的影响；</w:t>
      </w:r>
    </w:p>
    <w:p>
      <w:pPr>
        <w:pStyle w:val="56"/>
        <w:ind w:firstLine="420"/>
      </w:pPr>
      <w:r>
        <w:rPr>
          <w:rFonts w:hint="eastAsia"/>
        </w:rPr>
        <w:t>（8）响应小组组长应在应急事件处置完毕后开展事件复盘会议，并向响应小组提交《应急事件处置报告》。</w:t>
      </w:r>
    </w:p>
    <w:p>
      <w:pPr>
        <w:pStyle w:val="94"/>
        <w:spacing w:before="156" w:after="156"/>
      </w:pPr>
      <w:r>
        <w:rPr>
          <w:rFonts w:hint="eastAsia"/>
        </w:rPr>
        <w:t>Ⅱ级应急响应</w:t>
      </w:r>
    </w:p>
    <w:p>
      <w:pPr>
        <w:pStyle w:val="56"/>
        <w:ind w:firstLine="420"/>
        <w:rPr>
          <w:color w:val="FF0000"/>
        </w:rPr>
      </w:pPr>
      <w:r>
        <w:rPr>
          <w:rFonts w:hint="eastAsia"/>
        </w:rPr>
        <w:t>（1）运维值班人员应及时与政务云值班人员沟通，进行必要止损操作，包括平台断网、停机等操作确保及时止损、阻断入侵等；同时须4小时内上报至市公共数据运行管理机构分管领导；</w:t>
      </w:r>
    </w:p>
    <w:p>
      <w:pPr>
        <w:pStyle w:val="56"/>
        <w:ind w:firstLine="420"/>
      </w:pPr>
      <w:r>
        <w:rPr>
          <w:rFonts w:hint="eastAsia"/>
        </w:rPr>
        <w:t>（2）运维值班人员应迅速通知响应小组组长；</w:t>
      </w:r>
    </w:p>
    <w:p>
      <w:pPr>
        <w:pStyle w:val="56"/>
        <w:ind w:firstLine="420"/>
      </w:pPr>
      <w:r>
        <w:rPr>
          <w:rFonts w:hint="eastAsia"/>
        </w:rPr>
        <w:t>（3）响应小组组长应及时汇总事件情况并上报响应小组相关领导及相关受影响单位和部门；</w:t>
      </w:r>
    </w:p>
    <w:p>
      <w:pPr>
        <w:pStyle w:val="56"/>
        <w:ind w:firstLine="420"/>
      </w:pPr>
      <w:r>
        <w:rPr>
          <w:rFonts w:hint="eastAsia"/>
        </w:rPr>
        <w:t>（4）应急事件发生后，响应小组组长及相关处置人员应当立即赶至项目现场；</w:t>
      </w:r>
    </w:p>
    <w:p>
      <w:pPr>
        <w:pStyle w:val="56"/>
        <w:ind w:firstLine="420"/>
      </w:pPr>
      <w:r>
        <w:rPr>
          <w:rFonts w:hint="eastAsia"/>
        </w:rPr>
        <w:t>（5）响应小组组长应立即组织相关技术人员开展应急事件排查与处置，并按照响应小组指示开展整体工作；</w:t>
      </w:r>
    </w:p>
    <w:p>
      <w:pPr>
        <w:pStyle w:val="56"/>
        <w:ind w:firstLine="420"/>
      </w:pPr>
      <w:r>
        <w:rPr>
          <w:rFonts w:hint="eastAsia"/>
        </w:rPr>
        <w:t>（6）响应小组组长需根据实际情况及时向响应小组汇报处置进展，直至事件解决，平台恢复正常；</w:t>
      </w:r>
    </w:p>
    <w:p>
      <w:pPr>
        <w:pStyle w:val="56"/>
        <w:ind w:firstLine="420"/>
      </w:pPr>
      <w:r>
        <w:rPr>
          <w:rFonts w:hint="eastAsia"/>
        </w:rPr>
        <w:t>（7）响应小组组长应在应急事件处置完毕后开展事件复盘会议，并向响应小组提交《应急事件处置报告》。</w:t>
      </w:r>
    </w:p>
    <w:p>
      <w:pPr>
        <w:pStyle w:val="94"/>
        <w:spacing w:before="156" w:after="156"/>
      </w:pPr>
      <w:r>
        <w:rPr>
          <w:rFonts w:hint="eastAsia"/>
        </w:rPr>
        <w:t>Ⅲ级应急响应</w:t>
      </w:r>
    </w:p>
    <w:p>
      <w:pPr>
        <w:pStyle w:val="56"/>
        <w:ind w:firstLine="420"/>
        <w:rPr>
          <w:color w:val="FF0000"/>
        </w:rPr>
      </w:pPr>
      <w:r>
        <w:rPr>
          <w:rFonts w:hint="eastAsia"/>
        </w:rPr>
        <w:t>（1）运维值班人员应及时与政务云值班人员沟通并采取初步处置，保存相关日志记录等；同时须24小时内上报至市公共数据运行管理机构业务处室领导；</w:t>
      </w:r>
    </w:p>
    <w:p>
      <w:pPr>
        <w:pStyle w:val="56"/>
        <w:ind w:firstLine="420"/>
      </w:pPr>
      <w:r>
        <w:rPr>
          <w:rFonts w:hint="eastAsia"/>
        </w:rPr>
        <w:t>（2）运维值班人员应迅速通知响应小组组长，并由响应组长统一调度，确认处置方案，安排处置人员；</w:t>
      </w:r>
    </w:p>
    <w:p>
      <w:pPr>
        <w:pStyle w:val="56"/>
        <w:ind w:firstLine="420"/>
      </w:pPr>
      <w:r>
        <w:rPr>
          <w:rFonts w:hint="eastAsia"/>
        </w:rPr>
        <w:t>（3）应急事件发生后，相关处置人员应当立即赶至项目现场并依据方案进行处置；</w:t>
      </w:r>
    </w:p>
    <w:p>
      <w:pPr>
        <w:pStyle w:val="56"/>
        <w:ind w:firstLine="420"/>
      </w:pPr>
      <w:r>
        <w:rPr>
          <w:rFonts w:hint="eastAsia"/>
        </w:rPr>
        <w:t>（4）响应小组组长应在应急事件处置完毕后开展事件复盘会议，进行归档。</w:t>
      </w:r>
    </w:p>
    <w:p>
      <w:pPr>
        <w:pStyle w:val="65"/>
        <w:spacing w:before="156" w:after="156"/>
      </w:pPr>
      <w:bookmarkStart w:id="75" w:name="_Toc180756487"/>
      <w:r>
        <w:rPr>
          <w:rFonts w:hint="eastAsia"/>
        </w:rPr>
        <w:t>应急事件处置报告</w:t>
      </w:r>
      <w:bookmarkEnd w:id="75"/>
    </w:p>
    <w:p>
      <w:pPr>
        <w:pStyle w:val="56"/>
        <w:ind w:firstLine="420"/>
      </w:pPr>
      <w:r>
        <w:rPr>
          <w:rFonts w:hint="eastAsia"/>
        </w:rPr>
        <w:t>响应小组应对事件进行研究分析和调查处理，查明应急事件的性质、原因、经过、危害和影响，提出调查处理建议和今后同类事件的防范措施，及时更新和完善应急预案以防止同应急事件处置报告类事件再次发生。</w:t>
      </w:r>
    </w:p>
    <w:p>
      <w:pPr>
        <w:pStyle w:val="56"/>
        <w:ind w:firstLine="420"/>
      </w:pPr>
      <w:r>
        <w:rPr>
          <w:rFonts w:hint="eastAsia"/>
        </w:rPr>
        <w:t>原则上事件的调查处理和总结评估工作在应急响应结束后5个工作日内完成，形成应急事件处置报告上报给响应小组，由响应小组确定对具体责任人的处罚决定，如涉及违法行为的，应依据法律、法规，移交相关部门处理；公共数据平台管理机构可对应急事件处置报告进一步调查分析、跟踪评估改进。</w:t>
      </w:r>
    </w:p>
    <w:p>
      <w:pPr>
        <w:pStyle w:val="56"/>
        <w:ind w:firstLine="420"/>
      </w:pPr>
      <w:r>
        <w:rPr>
          <w:rFonts w:hint="eastAsia"/>
        </w:rPr>
        <w:t>应急事件处置报告的详细内容如附录B所示。</w:t>
      </w:r>
    </w:p>
    <w:p>
      <w:pPr>
        <w:pStyle w:val="56"/>
        <w:ind w:firstLine="420"/>
      </w:pPr>
    </w:p>
    <w:p>
      <w:pPr>
        <w:pStyle w:val="56"/>
        <w:ind w:firstLine="420"/>
      </w:pPr>
    </w:p>
    <w:p>
      <w:pPr>
        <w:pStyle w:val="56"/>
        <w:ind w:firstLine="420"/>
      </w:pPr>
    </w:p>
    <w:p>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p>
    <w:bookmarkEnd w:id="25"/>
    <w:p>
      <w:pPr>
        <w:pStyle w:val="198"/>
        <w:rPr>
          <w:vanish w:val="0"/>
        </w:rPr>
      </w:pPr>
      <w:bookmarkStart w:id="76" w:name="BookMark5"/>
    </w:p>
    <w:p>
      <w:pPr>
        <w:pStyle w:val="199"/>
        <w:rPr>
          <w:vanish w:val="0"/>
        </w:rPr>
      </w:pPr>
    </w:p>
    <w:p>
      <w:pPr>
        <w:pStyle w:val="76"/>
        <w:spacing w:after="156"/>
      </w:pPr>
      <w:r>
        <w:br w:type="textWrapping"/>
      </w:r>
      <w:bookmarkStart w:id="77" w:name="_Toc180753600"/>
      <w:bookmarkStart w:id="78" w:name="_Toc180756488"/>
      <w:r>
        <w:rPr>
          <w:rFonts w:hint="eastAsia"/>
        </w:rPr>
        <w:t>（规范性）</w:t>
      </w:r>
      <w:r>
        <w:br w:type="textWrapping"/>
      </w:r>
      <w:r>
        <w:rPr>
          <w:rFonts w:hint="eastAsia"/>
        </w:rPr>
        <w:t>巡检报告</w:t>
      </w:r>
      <w:bookmarkEnd w:id="77"/>
      <w:bookmarkEnd w:id="78"/>
    </w:p>
    <w:p>
      <w:pPr>
        <w:pStyle w:val="56"/>
        <w:ind w:firstLine="0" w:firstLineChars="0"/>
      </w:pPr>
      <w:r>
        <w:t xml:space="preserve">    </w:t>
      </w:r>
      <w:r>
        <w:rPr>
          <w:rFonts w:hint="eastAsia"/>
        </w:rPr>
        <w:t>日常巡检结果报告，如表A</w:t>
      </w:r>
      <w:r>
        <w:t>.1</w:t>
      </w:r>
      <w:r>
        <w:rPr>
          <w:rFonts w:hint="eastAsia"/>
        </w:rPr>
        <w:t>。</w:t>
      </w:r>
    </w:p>
    <w:p>
      <w:pPr>
        <w:pStyle w:val="77"/>
        <w:spacing w:before="156" w:after="156"/>
      </w:pPr>
      <w:r>
        <w:rPr>
          <w:rFonts w:hint="eastAsia"/>
        </w:rPr>
        <w:t>巡检报告</w:t>
      </w:r>
    </w:p>
    <w:p>
      <w:pPr>
        <w:pStyle w:val="56"/>
        <w:ind w:firstLine="420"/>
        <w:jc w:val="center"/>
      </w:pPr>
      <w:r>
        <w:rPr>
          <w:rFonts w:hint="eastAsia"/>
        </w:rPr>
        <w:drawing>
          <wp:inline distT="0" distB="0" distL="0" distR="0">
            <wp:extent cx="5314315" cy="61887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327570" cy="6203730"/>
                    </a:xfrm>
                    <a:prstGeom prst="rect">
                      <a:avLst/>
                    </a:prstGeom>
                    <a:noFill/>
                    <a:ln>
                      <a:noFill/>
                    </a:ln>
                  </pic:spPr>
                </pic:pic>
              </a:graphicData>
            </a:graphic>
          </wp:inline>
        </w:drawing>
      </w:r>
    </w:p>
    <w:p>
      <w:pPr>
        <w:pStyle w:val="56"/>
        <w:ind w:firstLine="420"/>
      </w:pPr>
    </w:p>
    <w:p>
      <w:pPr>
        <w:pStyle w:val="56"/>
        <w:ind w:firstLine="420"/>
      </w:pPr>
    </w:p>
    <w:p>
      <w:pPr>
        <w:pStyle w:val="56"/>
        <w:ind w:firstLine="420"/>
      </w:pPr>
    </w:p>
    <w:p>
      <w:pPr>
        <w:pStyle w:val="56"/>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after="156"/>
      </w:pPr>
      <w:r>
        <w:br w:type="textWrapping"/>
      </w:r>
      <w:bookmarkStart w:id="79" w:name="_Toc180756489"/>
      <w:bookmarkStart w:id="80" w:name="_Toc180753601"/>
      <w:r>
        <w:rPr>
          <w:rFonts w:hint="eastAsia"/>
        </w:rPr>
        <w:t>（规范性）</w:t>
      </w:r>
      <w:r>
        <w:br w:type="textWrapping"/>
      </w:r>
      <w:r>
        <w:rPr>
          <w:rFonts w:hint="eastAsia"/>
        </w:rPr>
        <w:t>应急事件处置报告</w:t>
      </w:r>
      <w:bookmarkEnd w:id="79"/>
      <w:bookmarkEnd w:id="80"/>
    </w:p>
    <w:p>
      <w:pPr>
        <w:pStyle w:val="56"/>
        <w:ind w:firstLine="420"/>
      </w:pPr>
      <w:r>
        <w:rPr>
          <w:rFonts w:hint="eastAsia"/>
        </w:rPr>
        <w:t xml:space="preserve">   应急事件处置报告，如表</w:t>
      </w:r>
      <w:r>
        <w:t>B</w:t>
      </w:r>
      <w:r>
        <w:rPr>
          <w:rFonts w:hint="eastAsia"/>
        </w:rPr>
        <w:t>.1。</w:t>
      </w:r>
    </w:p>
    <w:p>
      <w:pPr>
        <w:pStyle w:val="77"/>
        <w:spacing w:before="156" w:after="156"/>
      </w:pPr>
      <w:r>
        <w:rPr>
          <w:rFonts w:hint="eastAsia"/>
        </w:rPr>
        <w:t>应急事件处置报告</w:t>
      </w:r>
    </w:p>
    <w:p>
      <w:pPr>
        <w:pStyle w:val="56"/>
        <w:ind w:firstLine="420"/>
        <w:jc w:val="center"/>
      </w:pPr>
      <w:r>
        <w:rPr>
          <w:rFonts w:hint="eastAsia"/>
        </w:rPr>
        <w:drawing>
          <wp:inline distT="0" distB="0" distL="0" distR="0">
            <wp:extent cx="5664835" cy="60515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690400" cy="6078807"/>
                    </a:xfrm>
                    <a:prstGeom prst="rect">
                      <a:avLst/>
                    </a:prstGeom>
                    <a:noFill/>
                    <a:ln>
                      <a:noFill/>
                    </a:ln>
                  </pic:spPr>
                </pic:pic>
              </a:graphicData>
            </a:graphic>
          </wp:inline>
        </w:drawing>
      </w:r>
    </w:p>
    <w:bookmarkEnd w:id="76"/>
    <w:p>
      <w:pPr>
        <w:pStyle w:val="56"/>
        <w:ind w:firstLine="0" w:firstLineChars="0"/>
        <w:jc w:val="center"/>
      </w:pPr>
      <w:bookmarkStart w:id="82" w:name="_GoBack"/>
      <w:bookmarkEnd w:id="82"/>
      <w:bookmarkStart w:id="81" w:name="BookMark8"/>
      <w:r>
        <w:drawing>
          <wp:inline distT="0" distB="0" distL="0" distR="0">
            <wp:extent cx="1485900" cy="317500"/>
            <wp:effectExtent l="0" t="0" r="0" b="6350"/>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3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1"/>
    </w:p>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XXXX—2024</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XXXX—2024</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XXXX—2024</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XXXX—2024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XXXX—2024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XXXX—2024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XXXX—2024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BFC0AB8"/>
    <w:multiLevelType w:val="singleLevel"/>
    <w:tmpl w:val="0BFC0AB8"/>
    <w:lvl w:ilvl="0" w:tentative="0">
      <w:start w:val="1"/>
      <w:numFmt w:val="decimal"/>
      <w:suff w:val="nothing"/>
      <w:lvlText w:val="（%1）"/>
      <w:lvlJc w:val="left"/>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3828"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4WCQkZE+7OV/4tkBOxXzhrmj1DIg9Xry5z4SyLmf2oxC+fDDg5Yd7V6K3VJPmibF6yLjN3GBmPQ/6xTXSqcP+g==" w:salt="dozU5KFXq9nsdpKdbz2fbg=="/>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JlYzg2M2Y4MzlhYTBjN2IwMWMwZThkYTkwNzMxNjEifQ=="/>
  </w:docVars>
  <w:rsids>
    <w:rsidRoot w:val="00BC6A6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64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68C"/>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1FCF"/>
    <w:rsid w:val="001642FA"/>
    <w:rsid w:val="001649EB"/>
    <w:rsid w:val="00164BAF"/>
    <w:rsid w:val="00164FA8"/>
    <w:rsid w:val="00165065"/>
    <w:rsid w:val="00165434"/>
    <w:rsid w:val="0016580B"/>
    <w:rsid w:val="00165F49"/>
    <w:rsid w:val="00166B88"/>
    <w:rsid w:val="0016770A"/>
    <w:rsid w:val="0017052F"/>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582"/>
    <w:rsid w:val="001B06E8"/>
    <w:rsid w:val="001B2FD6"/>
    <w:rsid w:val="001B371C"/>
    <w:rsid w:val="001B71D0"/>
    <w:rsid w:val="001B71EE"/>
    <w:rsid w:val="001C04A8"/>
    <w:rsid w:val="001C2C03"/>
    <w:rsid w:val="001C42F7"/>
    <w:rsid w:val="001C49E5"/>
    <w:rsid w:val="001C680C"/>
    <w:rsid w:val="001C7FEA"/>
    <w:rsid w:val="001D0290"/>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4CE9"/>
    <w:rsid w:val="0024515B"/>
    <w:rsid w:val="00246021"/>
    <w:rsid w:val="0024666E"/>
    <w:rsid w:val="00247EC8"/>
    <w:rsid w:val="00247F52"/>
    <w:rsid w:val="00250B25"/>
    <w:rsid w:val="00250BBE"/>
    <w:rsid w:val="002515C2"/>
    <w:rsid w:val="0025194F"/>
    <w:rsid w:val="0026148A"/>
    <w:rsid w:val="00262696"/>
    <w:rsid w:val="00263D25"/>
    <w:rsid w:val="002643C3"/>
    <w:rsid w:val="00264A0C"/>
    <w:rsid w:val="00265485"/>
    <w:rsid w:val="00266EEB"/>
    <w:rsid w:val="00267EF4"/>
    <w:rsid w:val="00270353"/>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54"/>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2380"/>
    <w:rsid w:val="002D42B5"/>
    <w:rsid w:val="002D4F1A"/>
    <w:rsid w:val="002D6EC6"/>
    <w:rsid w:val="002D79AC"/>
    <w:rsid w:val="002E039D"/>
    <w:rsid w:val="002E4D5A"/>
    <w:rsid w:val="002E52F9"/>
    <w:rsid w:val="002E6326"/>
    <w:rsid w:val="002E6985"/>
    <w:rsid w:val="002F1777"/>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2E51"/>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267"/>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1D3E"/>
    <w:rsid w:val="003F23D3"/>
    <w:rsid w:val="003F3F08"/>
    <w:rsid w:val="003F49F1"/>
    <w:rsid w:val="003F6272"/>
    <w:rsid w:val="00400E72"/>
    <w:rsid w:val="00401400"/>
    <w:rsid w:val="00403707"/>
    <w:rsid w:val="00403E62"/>
    <w:rsid w:val="00403E8D"/>
    <w:rsid w:val="00404869"/>
    <w:rsid w:val="00405884"/>
    <w:rsid w:val="004062BF"/>
    <w:rsid w:val="00407D39"/>
    <w:rsid w:val="0041477A"/>
    <w:rsid w:val="004167A3"/>
    <w:rsid w:val="004171CC"/>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3FD"/>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4F84"/>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DE2"/>
    <w:rsid w:val="00514174"/>
    <w:rsid w:val="00516088"/>
    <w:rsid w:val="00516B0B"/>
    <w:rsid w:val="005220EC"/>
    <w:rsid w:val="00523F95"/>
    <w:rsid w:val="00524D65"/>
    <w:rsid w:val="00525B16"/>
    <w:rsid w:val="00532F30"/>
    <w:rsid w:val="00533D04"/>
    <w:rsid w:val="00534804"/>
    <w:rsid w:val="00534BDF"/>
    <w:rsid w:val="005354EA"/>
    <w:rsid w:val="0053585F"/>
    <w:rsid w:val="00535EC4"/>
    <w:rsid w:val="00535ED9"/>
    <w:rsid w:val="0053692B"/>
    <w:rsid w:val="00541853"/>
    <w:rsid w:val="00543BDA"/>
    <w:rsid w:val="005441CC"/>
    <w:rsid w:val="00545F97"/>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1725"/>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37CA"/>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0C4"/>
    <w:rsid w:val="006640E5"/>
    <w:rsid w:val="006646F1"/>
    <w:rsid w:val="00664929"/>
    <w:rsid w:val="00664F62"/>
    <w:rsid w:val="006655E1"/>
    <w:rsid w:val="00672060"/>
    <w:rsid w:val="00672BFD"/>
    <w:rsid w:val="006763F0"/>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5CB7"/>
    <w:rsid w:val="00707669"/>
    <w:rsid w:val="00711CBA"/>
    <w:rsid w:val="00711FB5"/>
    <w:rsid w:val="00712A01"/>
    <w:rsid w:val="00714F58"/>
    <w:rsid w:val="0071729E"/>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D02"/>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353"/>
    <w:rsid w:val="008209E6"/>
    <w:rsid w:val="00822203"/>
    <w:rsid w:val="008225A8"/>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4A67"/>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767B"/>
    <w:rsid w:val="0089049D"/>
    <w:rsid w:val="008928C9"/>
    <w:rsid w:val="008930CB"/>
    <w:rsid w:val="008938DC"/>
    <w:rsid w:val="00893FD1"/>
    <w:rsid w:val="00894836"/>
    <w:rsid w:val="00895172"/>
    <w:rsid w:val="00895680"/>
    <w:rsid w:val="00896DFF"/>
    <w:rsid w:val="0089762C"/>
    <w:rsid w:val="008A1893"/>
    <w:rsid w:val="008A1C5D"/>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78E8"/>
    <w:rsid w:val="00957A06"/>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13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5B4"/>
    <w:rsid w:val="00A57142"/>
    <w:rsid w:val="00A648CD"/>
    <w:rsid w:val="00A6537A"/>
    <w:rsid w:val="00A67866"/>
    <w:rsid w:val="00A70B07"/>
    <w:rsid w:val="00A723F8"/>
    <w:rsid w:val="00A77CCB"/>
    <w:rsid w:val="00A83D8D"/>
    <w:rsid w:val="00A8446B"/>
    <w:rsid w:val="00A8473F"/>
    <w:rsid w:val="00A862D6"/>
    <w:rsid w:val="00A8715E"/>
    <w:rsid w:val="00A917F7"/>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C689F"/>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27E"/>
    <w:rsid w:val="00B12981"/>
    <w:rsid w:val="00B147DD"/>
    <w:rsid w:val="00B156FD"/>
    <w:rsid w:val="00B21F61"/>
    <w:rsid w:val="00B261F1"/>
    <w:rsid w:val="00B265BC"/>
    <w:rsid w:val="00B27DF6"/>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5B60"/>
    <w:rsid w:val="00B66567"/>
    <w:rsid w:val="00B66F52"/>
    <w:rsid w:val="00B66FE5"/>
    <w:rsid w:val="00B70B33"/>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A64"/>
    <w:rsid w:val="00BC6B8B"/>
    <w:rsid w:val="00BC73D8"/>
    <w:rsid w:val="00BD52D7"/>
    <w:rsid w:val="00BD5AD2"/>
    <w:rsid w:val="00BE22F3"/>
    <w:rsid w:val="00BE4BF0"/>
    <w:rsid w:val="00BE5B52"/>
    <w:rsid w:val="00BE7B8D"/>
    <w:rsid w:val="00BF0993"/>
    <w:rsid w:val="00BF10A9"/>
    <w:rsid w:val="00BF1703"/>
    <w:rsid w:val="00BF231C"/>
    <w:rsid w:val="00BF2881"/>
    <w:rsid w:val="00BF435E"/>
    <w:rsid w:val="00BF51E5"/>
    <w:rsid w:val="00BF543E"/>
    <w:rsid w:val="00BF74A6"/>
    <w:rsid w:val="00C013AD"/>
    <w:rsid w:val="00C02C3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02F"/>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4C49"/>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6C0"/>
    <w:rsid w:val="00DA28E8"/>
    <w:rsid w:val="00DA38D3"/>
    <w:rsid w:val="00DA3932"/>
    <w:rsid w:val="00DA3AFC"/>
    <w:rsid w:val="00DA5191"/>
    <w:rsid w:val="00DA64F8"/>
    <w:rsid w:val="00DA6C15"/>
    <w:rsid w:val="00DB0258"/>
    <w:rsid w:val="00DB251B"/>
    <w:rsid w:val="00DB38EE"/>
    <w:rsid w:val="00DB467D"/>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2C54"/>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6E39"/>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5ABE"/>
    <w:rsid w:val="00EE0350"/>
    <w:rsid w:val="00EE0719"/>
    <w:rsid w:val="00EE0E80"/>
    <w:rsid w:val="00EE54A6"/>
    <w:rsid w:val="00EE613F"/>
    <w:rsid w:val="00EE7295"/>
    <w:rsid w:val="00EE7869"/>
    <w:rsid w:val="00EF054A"/>
    <w:rsid w:val="00EF3235"/>
    <w:rsid w:val="00EF7E72"/>
    <w:rsid w:val="00F06D37"/>
    <w:rsid w:val="00F07B9D"/>
    <w:rsid w:val="00F1021F"/>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1B1F"/>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C56903"/>
    <w:rsid w:val="02F77A30"/>
    <w:rsid w:val="03D756A0"/>
    <w:rsid w:val="03DC41B1"/>
    <w:rsid w:val="065169B7"/>
    <w:rsid w:val="09AA4D5C"/>
    <w:rsid w:val="09D45935"/>
    <w:rsid w:val="0A1C108A"/>
    <w:rsid w:val="0C3A67E5"/>
    <w:rsid w:val="0CA535B9"/>
    <w:rsid w:val="0CCE2B10"/>
    <w:rsid w:val="0CD914B5"/>
    <w:rsid w:val="0D176ADD"/>
    <w:rsid w:val="0D4728C2"/>
    <w:rsid w:val="0D95334E"/>
    <w:rsid w:val="0DF76096"/>
    <w:rsid w:val="0F7A6F7F"/>
    <w:rsid w:val="10516B48"/>
    <w:rsid w:val="11407D54"/>
    <w:rsid w:val="11692E07"/>
    <w:rsid w:val="118075CE"/>
    <w:rsid w:val="12B66927"/>
    <w:rsid w:val="12F5292A"/>
    <w:rsid w:val="137B1189"/>
    <w:rsid w:val="17446A3D"/>
    <w:rsid w:val="17CD50BB"/>
    <w:rsid w:val="185C1918"/>
    <w:rsid w:val="18B0756E"/>
    <w:rsid w:val="193F3921"/>
    <w:rsid w:val="1D8174C7"/>
    <w:rsid w:val="1ED8781E"/>
    <w:rsid w:val="1FF42436"/>
    <w:rsid w:val="23B5012E"/>
    <w:rsid w:val="25762D51"/>
    <w:rsid w:val="284F16BF"/>
    <w:rsid w:val="2A4434D0"/>
    <w:rsid w:val="2B802C2A"/>
    <w:rsid w:val="2BEE5789"/>
    <w:rsid w:val="2D0A3299"/>
    <w:rsid w:val="2E9F5C62"/>
    <w:rsid w:val="2FB4701E"/>
    <w:rsid w:val="2FC00586"/>
    <w:rsid w:val="320A3D3B"/>
    <w:rsid w:val="320D7387"/>
    <w:rsid w:val="32537490"/>
    <w:rsid w:val="333472C1"/>
    <w:rsid w:val="36CA1CEB"/>
    <w:rsid w:val="36D02A02"/>
    <w:rsid w:val="385A485D"/>
    <w:rsid w:val="38CE5AC2"/>
    <w:rsid w:val="3A75371B"/>
    <w:rsid w:val="3A862627"/>
    <w:rsid w:val="3BDA1A6F"/>
    <w:rsid w:val="3E8B7FB1"/>
    <w:rsid w:val="3FBF6165"/>
    <w:rsid w:val="40370BB2"/>
    <w:rsid w:val="40490124"/>
    <w:rsid w:val="41496EE9"/>
    <w:rsid w:val="44886565"/>
    <w:rsid w:val="48C20A74"/>
    <w:rsid w:val="48C93BB0"/>
    <w:rsid w:val="4A227A1C"/>
    <w:rsid w:val="4A370FED"/>
    <w:rsid w:val="4C1C2239"/>
    <w:rsid w:val="4C93607B"/>
    <w:rsid w:val="4CCC2240"/>
    <w:rsid w:val="4D331F40"/>
    <w:rsid w:val="4EBE3A8B"/>
    <w:rsid w:val="4ECA6880"/>
    <w:rsid w:val="4F734876"/>
    <w:rsid w:val="52C8137C"/>
    <w:rsid w:val="55C505EA"/>
    <w:rsid w:val="57106E4E"/>
    <w:rsid w:val="5B116199"/>
    <w:rsid w:val="5B3E6680"/>
    <w:rsid w:val="5D3F4749"/>
    <w:rsid w:val="5DBC1263"/>
    <w:rsid w:val="5F1A4D0E"/>
    <w:rsid w:val="5F797C86"/>
    <w:rsid w:val="5FA56CCD"/>
    <w:rsid w:val="5FE82B98"/>
    <w:rsid w:val="600F2A9E"/>
    <w:rsid w:val="60EA0710"/>
    <w:rsid w:val="64243F39"/>
    <w:rsid w:val="64D92F75"/>
    <w:rsid w:val="6531690D"/>
    <w:rsid w:val="673B33B6"/>
    <w:rsid w:val="6A8614A9"/>
    <w:rsid w:val="6B5477F9"/>
    <w:rsid w:val="6CD75FEC"/>
    <w:rsid w:val="6D187F66"/>
    <w:rsid w:val="6E9248C1"/>
    <w:rsid w:val="6EA2262A"/>
    <w:rsid w:val="70271038"/>
    <w:rsid w:val="72604DDB"/>
    <w:rsid w:val="72802C82"/>
    <w:rsid w:val="74F22100"/>
    <w:rsid w:val="75F66D26"/>
    <w:rsid w:val="792F139E"/>
    <w:rsid w:val="79E81276"/>
    <w:rsid w:val="7AB756AF"/>
    <w:rsid w:val="7AC04563"/>
    <w:rsid w:val="7E9643DE"/>
    <w:rsid w:val="7F195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b/>
      <w:bCs/>
      <w:kern w:val="44"/>
      <w:sz w:val="44"/>
      <w:szCs w:val="44"/>
    </w:rPr>
  </w:style>
  <w:style w:type="character" w:customStyle="1" w:styleId="35">
    <w:name w:val="标题 2 字符"/>
    <w:link w:val="3"/>
    <w:autoRedefine/>
    <w:qFormat/>
    <w:uiPriority w:val="0"/>
    <w:rPr>
      <w:rFonts w:ascii="Arial" w:hAnsi="Arial" w:eastAsia="黑体"/>
      <w:b/>
      <w:bCs/>
      <w:kern w:val="2"/>
      <w:sz w:val="32"/>
      <w:szCs w:val="32"/>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autoRedefine/>
    <w:qFormat/>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autoRedefine/>
    <w:qFormat/>
    <w:uiPriority w:val="0"/>
    <w:rPr>
      <w:b/>
      <w:bCs/>
      <w:kern w:val="2"/>
      <w:sz w:val="24"/>
      <w:szCs w:val="24"/>
    </w:rPr>
  </w:style>
  <w:style w:type="character" w:customStyle="1" w:styleId="41">
    <w:name w:val="标题 8 字符"/>
    <w:link w:val="9"/>
    <w:autoRedefine/>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ind w:left="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frame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3" Type="http://schemas.openxmlformats.org/officeDocument/2006/relationships/glossaryDocument" Target="glossary/document.xml"/><Relationship Id="rId42" Type="http://schemas.openxmlformats.org/officeDocument/2006/relationships/fontTable" Target="fontTable.xml"/><Relationship Id="rId41" Type="http://schemas.openxmlformats.org/officeDocument/2006/relationships/customXml" Target="../customXml/item2.xml"/><Relationship Id="rId40" Type="http://schemas.openxmlformats.org/officeDocument/2006/relationships/numbering" Target="numbering.xml"/><Relationship Id="rId4" Type="http://schemas.openxmlformats.org/officeDocument/2006/relationships/endnotes" Target="endnotes.xml"/><Relationship Id="rId39" Type="http://schemas.openxmlformats.org/officeDocument/2006/relationships/customXml" Target="../customXml/item1.xml"/><Relationship Id="rId38" Type="http://schemas.openxmlformats.org/officeDocument/2006/relationships/image" Target="media/image6.jpeg"/><Relationship Id="rId37" Type="http://schemas.openxmlformats.org/officeDocument/2006/relationships/image" Target="media/image5.emf"/><Relationship Id="rId36" Type="http://schemas.openxmlformats.org/officeDocument/2006/relationships/image" Target="media/image4.emf"/><Relationship Id="rId35" Type="http://schemas.openxmlformats.org/officeDocument/2006/relationships/image" Target="media/image3.emf"/><Relationship Id="rId34" Type="http://schemas.openxmlformats.org/officeDocument/2006/relationships/oleObject" Target="embeddings/oleObject1.bin"/><Relationship Id="rId33" Type="http://schemas.openxmlformats.org/officeDocument/2006/relationships/image" Target="media/image2.png"/><Relationship Id="rId32" Type="http://schemas.openxmlformats.org/officeDocument/2006/relationships/image" Target="media/image1.tiff"/><Relationship Id="rId31" Type="http://schemas.openxmlformats.org/officeDocument/2006/relationships/theme" Target="theme/theme1.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4936052E0E446B4BA8F8849F732E9AF"/>
        <w:style w:val=""/>
        <w:category>
          <w:name w:val="常规"/>
          <w:gallery w:val="placeholder"/>
        </w:category>
        <w:types>
          <w:type w:val="bbPlcHdr"/>
        </w:types>
        <w:behaviors>
          <w:behavior w:val="content"/>
        </w:behaviors>
        <w:description w:val=""/>
        <w:guid w:val="{B4ABD2A5-C6E7-4DF2-BCB4-6DF7B69F766C}"/>
      </w:docPartPr>
      <w:docPartBody>
        <w:p>
          <w:pPr>
            <w:pStyle w:val="5"/>
          </w:pPr>
          <w:r>
            <w:rPr>
              <w:rStyle w:val="4"/>
              <w:rFonts w:hint="eastAsia"/>
            </w:rPr>
            <w:t>单击或点击此处输入文字。</w:t>
          </w:r>
        </w:p>
      </w:docPartBody>
    </w:docPart>
    <w:docPart>
      <w:docPartPr>
        <w:name w:val="32DAFB23925F4261B2A804A1EDEA7AA5"/>
        <w:style w:val=""/>
        <w:category>
          <w:name w:val="常规"/>
          <w:gallery w:val="placeholder"/>
        </w:category>
        <w:types>
          <w:type w:val="bbPlcHdr"/>
        </w:types>
        <w:behaviors>
          <w:behavior w:val="content"/>
        </w:behaviors>
        <w:description w:val=""/>
        <w:guid w:val="{77CDD120-68D6-4932-9756-EA5DDFF7EF13}"/>
      </w:docPartPr>
      <w:docPartBody>
        <w:p>
          <w:pPr>
            <w:pStyle w:val="6"/>
          </w:pPr>
          <w:r>
            <w:rPr>
              <w:rStyle w:val="4"/>
              <w:rFonts w:hint="eastAsia"/>
            </w:rPr>
            <w:t>选择一项。</w:t>
          </w:r>
        </w:p>
      </w:docPartBody>
    </w:docPart>
    <w:docPart>
      <w:docPartPr>
        <w:name w:val="C4999AE50571471C8F5F066B1EEC5902"/>
        <w:style w:val=""/>
        <w:category>
          <w:name w:val="常规"/>
          <w:gallery w:val="placeholder"/>
        </w:category>
        <w:types>
          <w:type w:val="bbPlcHdr"/>
        </w:types>
        <w:behaviors>
          <w:behavior w:val="content"/>
        </w:behaviors>
        <w:description w:val=""/>
        <w:guid w:val="{8D55D56B-4EFF-479E-9CF1-E0EC0DE34291}"/>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602"/>
    <w:rsid w:val="00000F36"/>
    <w:rsid w:val="001B371C"/>
    <w:rsid w:val="00235BE8"/>
    <w:rsid w:val="00246B0A"/>
    <w:rsid w:val="00294AC7"/>
    <w:rsid w:val="002D2FC6"/>
    <w:rsid w:val="002E52F9"/>
    <w:rsid w:val="003B35B5"/>
    <w:rsid w:val="003D3838"/>
    <w:rsid w:val="003E24D0"/>
    <w:rsid w:val="00626ECD"/>
    <w:rsid w:val="0086142E"/>
    <w:rsid w:val="0090170A"/>
    <w:rsid w:val="009A6139"/>
    <w:rsid w:val="00B71886"/>
    <w:rsid w:val="00BA18F3"/>
    <w:rsid w:val="00BE3FC3"/>
    <w:rsid w:val="00D135D4"/>
    <w:rsid w:val="00DB467D"/>
    <w:rsid w:val="00E337DC"/>
    <w:rsid w:val="00E87C71"/>
    <w:rsid w:val="00F55FFC"/>
    <w:rsid w:val="00FE5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24936052E0E446B4BA8F8849F732E9AF"/>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2DAFB23925F4261B2A804A1EDEA7AA5"/>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4999AE50571471C8F5F066B1EEC590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EB5292-9664-4BB7-B953-DA52CB63691D}">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13</Pages>
  <Words>881</Words>
  <Characters>5024</Characters>
  <Lines>41</Lines>
  <Paragraphs>11</Paragraphs>
  <TotalTime>43</TotalTime>
  <ScaleCrop>false</ScaleCrop>
  <LinksUpToDate>false</LinksUpToDate>
  <CharactersWithSpaces>5894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2024-04-29T22:40:00Z</dcterms:created>
  <dc:creator>陈国彬</dc:creator>
  <dc:description>&lt;config cover="true" show_menu="true" version="1.0.0" doctype="SDKXY"&gt;_x000d_
&lt;/config&gt;</dc:description>
  <cp:lastModifiedBy>Administrator</cp:lastModifiedBy>
  <cp:lastPrinted>2020-08-30T10:00:00Z</cp:lastPrinted>
  <dcterms:modified xsi:type="dcterms:W3CDTF">2024-12-31T02:41:37Z</dcterms:modified>
  <dc:title>地方标准</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2052-12.1.0.16388</vt:lpwstr>
  </property>
  <property fmtid="{D5CDD505-2E9C-101B-9397-08002B2CF9AE}" pid="15" name="ICV">
    <vt:lpwstr>0B1C4C5533E54C2FB83A7631F967CAD2_12</vt:lpwstr>
  </property>
  <property fmtid="{D5CDD505-2E9C-101B-9397-08002B2CF9AE}" pid="16" name="DoublePage">
    <vt:lpwstr>true</vt:lpwstr>
  </property>
</Properties>
</file>