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0EB1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D37BAC4">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21D4FF6">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14:paraId="10399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8A365C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27EF8D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w:t>
            </w:r>
            <w:r>
              <w:rPr>
                <w:rFonts w:hint="eastAsia" w:ascii="黑体" w:hAnsi="黑体" w:eastAsia="黑体"/>
                <w:sz w:val="21"/>
                <w:szCs w:val="21"/>
                <w:lang w:val="en-US" w:eastAsia="zh-CN"/>
              </w:rPr>
              <w:t>16</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1125F5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E07F77D">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3213</w:t>
            </w:r>
            <w:r>
              <w:fldChar w:fldCharType="end"/>
            </w:r>
            <w:bookmarkEnd w:id="3"/>
          </w:p>
        </w:tc>
      </w:tr>
    </w:tbl>
    <w:p w14:paraId="49468E41">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宿迁市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198A3CB">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54B0AD6A">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1E8AF34">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46EE095">
      <w:pPr>
        <w:pStyle w:val="50"/>
        <w:framePr w:w="9639" w:h="6976" w:hRule="exact" w:hSpace="0" w:vSpace="0" w:wrap="around" w:hAnchor="page" w:y="6408"/>
        <w:jc w:val="center"/>
        <w:rPr>
          <w:rFonts w:ascii="黑体" w:hAnsi="黑体" w:eastAsia="黑体"/>
          <w:b w:val="0"/>
          <w:bCs w:val="0"/>
          <w:w w:val="100"/>
        </w:rPr>
      </w:pPr>
    </w:p>
    <w:p w14:paraId="5A9F4E1F">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夏播酿酒高粱病虫害绿色防控</w:t>
      </w:r>
      <w:r>
        <w:t>技术规程</w:t>
      </w:r>
      <w:r>
        <w:fldChar w:fldCharType="end"/>
      </w:r>
      <w:bookmarkEnd w:id="9"/>
    </w:p>
    <w:p w14:paraId="3D589EE7">
      <w:pPr>
        <w:framePr w:w="9639" w:h="6974" w:hRule="exact" w:wrap="around" w:vAnchor="page" w:hAnchor="page" w:x="1419" w:y="6408" w:anchorLock="1"/>
        <w:ind w:left="-1418"/>
      </w:pPr>
    </w:p>
    <w:p w14:paraId="7BE184E8">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regulation for green management against diseases and pests of  summer brewed sorghum</w:t>
      </w:r>
      <w:r>
        <w:rPr>
          <w:rFonts w:ascii="黑体" w:hAnsi="黑体" w:eastAsia="黑体"/>
          <w:szCs w:val="28"/>
        </w:rPr>
        <w:fldChar w:fldCharType="end"/>
      </w:r>
      <w:bookmarkEnd w:id="10"/>
    </w:p>
    <w:p w14:paraId="114C0B46">
      <w:pPr>
        <w:framePr w:w="9639" w:h="6974" w:hRule="exact" w:wrap="around" w:vAnchor="page" w:hAnchor="page" w:x="1419" w:y="6408" w:anchorLock="1"/>
        <w:spacing w:line="760" w:lineRule="exact"/>
        <w:ind w:left="-1418"/>
      </w:pPr>
    </w:p>
    <w:p w14:paraId="7BDE936B">
      <w:pPr>
        <w:pStyle w:val="193"/>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14:paraId="7373CC91">
      <w:pPr>
        <w:pStyle w:val="194"/>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10638208">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宿迁市市场监督管理局</w:t>
      </w:r>
      <w:r>
        <w:rPr>
          <w:rFonts w:hAnsi="黑体"/>
          <w:w w:val="100"/>
          <w:sz w:val="28"/>
        </w:rPr>
        <w:fldChar w:fldCharType="end"/>
      </w:r>
      <w:bookmarkEnd w:id="17"/>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755EAA4">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1597400">
      <w:pPr>
        <w:pStyle w:val="89"/>
        <w:spacing w:before="900" w:after="468"/>
      </w:pPr>
      <w:bookmarkStart w:id="18" w:name="BookMark2"/>
      <w:r>
        <w:rPr>
          <w:spacing w:val="320"/>
        </w:rPr>
        <w:t>前</w:t>
      </w:r>
      <w:r>
        <w:t>言</w:t>
      </w:r>
    </w:p>
    <w:p w14:paraId="3D725177">
      <w:pPr>
        <w:pStyle w:val="56"/>
        <w:ind w:firstLine="420"/>
        <w:rPr>
          <w:rFonts w:hint="eastAsia"/>
        </w:rPr>
      </w:pPr>
      <w:r>
        <w:rPr>
          <w:rFonts w:hint="eastAsia"/>
        </w:rPr>
        <w:t>本文件按照GB/T 1.1—2020《标准化工作导则  第1部分：标准化文件的结构和起草规则》的规定起草。</w:t>
      </w:r>
    </w:p>
    <w:p w14:paraId="4E0CCE80">
      <w:pPr>
        <w:pStyle w:val="56"/>
        <w:ind w:firstLine="420"/>
      </w:pPr>
      <w:r>
        <w:rPr>
          <w:rFonts w:hint="eastAsia"/>
        </w:rPr>
        <w:t>本文件由江苏省农业科学院宿迁农科所提出</w:t>
      </w:r>
      <w:r>
        <w:rPr>
          <w:rFonts w:hint="eastAsia"/>
          <w:lang w:eastAsia="zh-CN"/>
        </w:rPr>
        <w:t>并归口</w:t>
      </w:r>
      <w:r>
        <w:rPr>
          <w:rFonts w:hint="eastAsia"/>
        </w:rPr>
        <w:t>。</w:t>
      </w:r>
    </w:p>
    <w:p w14:paraId="60A24C41">
      <w:pPr>
        <w:pStyle w:val="56"/>
        <w:ind w:firstLine="420"/>
      </w:pPr>
      <w:r>
        <w:rPr>
          <w:rFonts w:hint="eastAsia"/>
        </w:rPr>
        <w:t>本文件起草单位：</w:t>
      </w:r>
      <w:r>
        <w:rPr>
          <w:rFonts w:hint="default" w:ascii="Times New Roman" w:hAnsi="Times New Roman" w:cs="Times New Roman"/>
        </w:rPr>
        <w:t>江苏省农业科学院宿迁农科所、</w:t>
      </w:r>
      <w:r>
        <w:rPr>
          <w:rFonts w:hint="eastAsia" w:ascii="Times New Roman" w:hAnsi="Times New Roman" w:cs="Times New Roman"/>
          <w:lang w:val="en-US" w:eastAsia="zh-CN"/>
        </w:rPr>
        <w:t>沭阳县农业农村局、</w:t>
      </w:r>
      <w:r>
        <w:rPr>
          <w:rFonts w:hint="eastAsia"/>
        </w:rPr>
        <w:t>宿迁市农畜产品质量检测中心</w:t>
      </w:r>
      <w:r>
        <w:rPr>
          <w:rFonts w:hint="eastAsia"/>
          <w:lang w:eastAsia="zh-CN"/>
        </w:rPr>
        <w:t>、</w:t>
      </w:r>
      <w:r>
        <w:rPr>
          <w:rFonts w:hint="default" w:ascii="Times New Roman" w:hAnsi="Times New Roman" w:cs="Times New Roman"/>
        </w:rPr>
        <w:t>宿迁市农业技术综合服务中心。</w:t>
      </w:r>
    </w:p>
    <w:p w14:paraId="03F99D7F">
      <w:pPr>
        <w:pStyle w:val="56"/>
        <w:ind w:firstLine="420"/>
      </w:pPr>
      <w:r>
        <w:rPr>
          <w:rFonts w:hint="eastAsia"/>
        </w:rPr>
        <w:t>本文件主要起草人：金倩</w:t>
      </w:r>
      <w:r>
        <w:rPr>
          <w:rFonts w:hint="eastAsia"/>
          <w:lang w:val="en-US" w:eastAsia="zh-CN"/>
        </w:rPr>
        <w:t>、李彬、潘明泉、</w:t>
      </w:r>
      <w:r>
        <w:rPr>
          <w:rFonts w:hint="eastAsia"/>
        </w:rPr>
        <w:t>赖上坤</w:t>
      </w:r>
      <w:r>
        <w:rPr>
          <w:rFonts w:hint="eastAsia"/>
          <w:lang w:val="en-US" w:eastAsia="zh-CN"/>
        </w:rPr>
        <w:t>、王卫军、王考艳、吴敏</w:t>
      </w:r>
      <w:r>
        <w:rPr>
          <w:rFonts w:hint="eastAsia"/>
        </w:rPr>
        <w:t>、陈之政</w:t>
      </w:r>
      <w:r>
        <w:rPr>
          <w:rFonts w:hint="eastAsia"/>
          <w:lang w:eastAsia="zh-CN"/>
        </w:rPr>
        <w:t>、</w:t>
      </w:r>
      <w:r>
        <w:rPr>
          <w:rFonts w:hint="eastAsia"/>
          <w:lang w:val="en-US" w:eastAsia="zh-CN"/>
        </w:rPr>
        <w:t>崔小平、</w:t>
      </w:r>
      <w:r>
        <w:rPr>
          <w:rFonts w:hint="eastAsia"/>
        </w:rPr>
        <w:t>刘晓飞、张善磊</w:t>
      </w:r>
      <w:r>
        <w:rPr>
          <w:rFonts w:hint="eastAsia"/>
          <w:lang w:val="en-US" w:eastAsia="zh-CN"/>
        </w:rPr>
        <w:t>、田胜营、丁翊东</w:t>
      </w:r>
      <w:r>
        <w:rPr>
          <w:rFonts w:hint="eastAsia"/>
        </w:rPr>
        <w:t>。</w:t>
      </w:r>
    </w:p>
    <w:p w14:paraId="53A06CF5">
      <w:pPr>
        <w:pStyle w:val="56"/>
        <w:ind w:firstLine="420"/>
      </w:pPr>
      <w:r>
        <w:rPr>
          <w:rFonts w:hint="eastAsia"/>
        </w:rPr>
        <w:t>本文件为首次发布。</w:t>
      </w:r>
    </w:p>
    <w:p w14:paraId="4C214783">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8"/>
    <w:p w14:paraId="00B78049">
      <w:pPr>
        <w:spacing w:line="20" w:lineRule="exact"/>
        <w:jc w:val="center"/>
        <w:rPr>
          <w:rFonts w:ascii="黑体" w:hAnsi="黑体" w:eastAsia="黑体"/>
          <w:sz w:val="32"/>
          <w:szCs w:val="32"/>
        </w:rPr>
      </w:pPr>
      <w:bookmarkStart w:id="19" w:name="BookMark4"/>
    </w:p>
    <w:p w14:paraId="7EBFE7B0">
      <w:pPr>
        <w:spacing w:line="20" w:lineRule="exact"/>
        <w:jc w:val="center"/>
        <w:rPr>
          <w:rFonts w:ascii="黑体" w:hAnsi="黑体" w:eastAsia="黑体"/>
          <w:sz w:val="32"/>
          <w:szCs w:val="32"/>
        </w:rPr>
      </w:pPr>
    </w:p>
    <w:sdt>
      <w:sdtPr>
        <w:tag w:val="NEW_STAND_NAME"/>
        <w:id w:val="595910757"/>
        <w:lock w:val="sdtLocked"/>
        <w:placeholder>
          <w:docPart w:val="96B8B09BFDFE4369BEC73095C7D6DCA4"/>
        </w:placeholder>
      </w:sdtPr>
      <w:sdtContent>
        <w:p w14:paraId="4F9F85A2">
          <w:pPr>
            <w:pStyle w:val="177"/>
            <w:spacing w:before="3" w:beforeLines="1" w:after="686" w:afterLines="220"/>
          </w:pPr>
          <w:bookmarkStart w:id="20" w:name="NEW_STAND_NAME"/>
          <w:r>
            <w:rPr>
              <w:rFonts w:hint="eastAsia"/>
              <w:lang w:val="en-US" w:eastAsia="zh-CN"/>
            </w:rPr>
            <w:t>夏播酿酒高粱病虫害绿色防控</w:t>
          </w:r>
          <w:r>
            <w:t>技术规程</w:t>
          </w:r>
        </w:p>
      </w:sdtContent>
    </w:sdt>
    <w:bookmarkEnd w:id="20"/>
    <w:p w14:paraId="29731244">
      <w:pPr>
        <w:pStyle w:val="104"/>
        <w:spacing w:before="312" w:after="312"/>
      </w:pPr>
      <w:bookmarkStart w:id="21" w:name="_Toc24884218"/>
      <w:bookmarkStart w:id="22" w:name="_Toc17233333"/>
      <w:bookmarkStart w:id="23" w:name="_Toc97191423"/>
      <w:bookmarkStart w:id="24" w:name="_Toc24884211"/>
      <w:bookmarkStart w:id="25" w:name="_Toc26648465"/>
      <w:bookmarkStart w:id="26" w:name="_Toc17233325"/>
      <w:bookmarkStart w:id="27" w:name="_Toc26718930"/>
      <w:bookmarkStart w:id="28" w:name="_Toc26986530"/>
      <w:bookmarkStart w:id="29" w:name="_Toc26986771"/>
      <w:r>
        <w:rPr>
          <w:rFonts w:hint="eastAsia"/>
        </w:rPr>
        <w:t>范围</w:t>
      </w:r>
      <w:bookmarkEnd w:id="21"/>
      <w:bookmarkEnd w:id="22"/>
      <w:bookmarkEnd w:id="23"/>
      <w:bookmarkEnd w:id="24"/>
      <w:bookmarkEnd w:id="25"/>
      <w:bookmarkEnd w:id="26"/>
      <w:bookmarkEnd w:id="27"/>
      <w:bookmarkEnd w:id="28"/>
      <w:bookmarkEnd w:id="29"/>
    </w:p>
    <w:p w14:paraId="0243E72D">
      <w:pPr>
        <w:pStyle w:val="56"/>
        <w:ind w:firstLine="420"/>
      </w:pPr>
      <w:bookmarkStart w:id="30" w:name="_Toc17233334"/>
      <w:bookmarkStart w:id="31" w:name="_Toc24884219"/>
      <w:bookmarkStart w:id="32" w:name="_Toc24884212"/>
      <w:bookmarkStart w:id="33" w:name="_Toc26648466"/>
      <w:bookmarkStart w:id="34" w:name="_Toc17233326"/>
      <w:r>
        <w:rPr>
          <w:rFonts w:hint="eastAsia"/>
        </w:rPr>
        <w:t>本文件规定了夏播</w:t>
      </w:r>
      <w:r>
        <w:rPr>
          <w:rFonts w:hint="eastAsia"/>
          <w:lang w:val="en-US" w:eastAsia="zh-CN"/>
        </w:rPr>
        <w:t>酿酒高粱病虫害防控</w:t>
      </w:r>
      <w:r>
        <w:t>原则</w:t>
      </w:r>
      <w:r>
        <w:rPr>
          <w:rFonts w:hint="eastAsia"/>
          <w:lang w:val="en-US" w:eastAsia="zh-CN"/>
        </w:rPr>
        <w:t>、防控</w:t>
      </w:r>
      <w:r>
        <w:t>技术</w:t>
      </w:r>
      <w:r>
        <w:rPr>
          <w:rFonts w:hint="eastAsia"/>
          <w:lang w:eastAsia="zh-CN"/>
        </w:rPr>
        <w:t>、</w:t>
      </w:r>
      <w:r>
        <w:rPr>
          <w:rFonts w:hint="eastAsia"/>
          <w:lang w:val="en-US" w:eastAsia="zh-CN"/>
        </w:rPr>
        <w:t>防控记录</w:t>
      </w:r>
      <w:r>
        <w:rPr>
          <w:rFonts w:hint="eastAsia"/>
        </w:rPr>
        <w:t>。</w:t>
      </w:r>
    </w:p>
    <w:p w14:paraId="08D4BFBF">
      <w:pPr>
        <w:pStyle w:val="56"/>
        <w:ind w:firstLine="420"/>
      </w:pPr>
      <w:r>
        <w:rPr>
          <w:rFonts w:hint="eastAsia"/>
        </w:rPr>
        <w:t>本文件</w:t>
      </w:r>
      <w:r>
        <w:t>适用于宿迁地区</w:t>
      </w:r>
      <w:r>
        <w:rPr>
          <w:rFonts w:hint="eastAsia"/>
          <w:lang w:val="en-US" w:eastAsia="zh-CN"/>
        </w:rPr>
        <w:t>夏播酿酒高粱病虫害</w:t>
      </w:r>
      <w:r>
        <w:t>防治</w:t>
      </w:r>
      <w:r>
        <w:rPr>
          <w:rFonts w:hint="eastAsia"/>
        </w:rPr>
        <w:t>。</w:t>
      </w:r>
    </w:p>
    <w:p w14:paraId="714B0D67">
      <w:pPr>
        <w:pStyle w:val="104"/>
        <w:spacing w:before="312" w:after="312"/>
      </w:pPr>
      <w:bookmarkStart w:id="35" w:name="_Toc26986772"/>
      <w:bookmarkStart w:id="36" w:name="_Toc97191424"/>
      <w:bookmarkStart w:id="37" w:name="_Toc26986531"/>
      <w:bookmarkStart w:id="38" w:name="_Toc26718931"/>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8B7B3EC5D996428484AAE3E88CD2ACA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E44F5B2">
          <w:pPr>
            <w:pStyle w:val="56"/>
            <w:ind w:firstLine="42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8297B9B">
      <w:pPr>
        <w:pStyle w:val="56"/>
        <w:ind w:firstLine="420"/>
        <w:rPr>
          <w:rFonts w:hint="eastAsia"/>
        </w:rPr>
      </w:pPr>
      <w:r>
        <w:rPr>
          <w:rFonts w:hint="eastAsia"/>
        </w:rPr>
        <w:t>GB 4404.1-2008         粮食作物种子 第1部分：禾谷类</w:t>
      </w:r>
    </w:p>
    <w:p w14:paraId="5D1D5A8F">
      <w:pPr>
        <w:pStyle w:val="56"/>
        <w:ind w:firstLine="420"/>
        <w:rPr>
          <w:rFonts w:hint="eastAsia"/>
        </w:rPr>
      </w:pPr>
      <w:r>
        <w:rPr>
          <w:rFonts w:hint="eastAsia"/>
        </w:rPr>
        <w:t>GB/T 8321（所有部分）  农药合理使用准则</w:t>
      </w:r>
    </w:p>
    <w:p w14:paraId="4F30429B">
      <w:pPr>
        <w:pStyle w:val="56"/>
        <w:ind w:firstLine="420"/>
        <w:rPr>
          <w:rFonts w:hint="eastAsia"/>
        </w:rPr>
      </w:pPr>
      <w:r>
        <w:rPr>
          <w:rFonts w:hint="eastAsia"/>
        </w:rPr>
        <w:t>GB/T 15671-2009        农作物薄膜包衣种子技术条件</w:t>
      </w:r>
    </w:p>
    <w:p w14:paraId="232A0D33">
      <w:pPr>
        <w:pStyle w:val="56"/>
        <w:ind w:firstLine="420"/>
        <w:rPr>
          <w:rFonts w:hint="eastAsia"/>
        </w:rPr>
      </w:pPr>
      <w:r>
        <w:rPr>
          <w:rFonts w:hint="eastAsia"/>
          <w:lang w:val="en-US" w:eastAsia="zh-CN"/>
        </w:rPr>
        <w:t>GB/T 15804-2011        高粱蚜测报技术规范</w:t>
      </w:r>
      <w:r>
        <w:rPr>
          <w:rFonts w:hint="eastAsia"/>
        </w:rPr>
        <w:t xml:space="preserve"> </w:t>
      </w:r>
    </w:p>
    <w:p w14:paraId="1A09CD7C">
      <w:pPr>
        <w:pStyle w:val="56"/>
        <w:ind w:firstLine="420"/>
        <w:rPr>
          <w:rFonts w:hint="eastAsia"/>
        </w:rPr>
      </w:pPr>
      <w:r>
        <w:rPr>
          <w:rFonts w:hint="eastAsia"/>
        </w:rPr>
        <w:t>NY/T 393</w:t>
      </w:r>
      <w:r>
        <w:rPr>
          <w:rFonts w:hint="eastAsia"/>
          <w:lang w:val="en-US" w:eastAsia="zh-CN"/>
        </w:rPr>
        <w:t>-</w:t>
      </w:r>
      <w:r>
        <w:rPr>
          <w:rFonts w:hint="eastAsia"/>
        </w:rPr>
        <w:t>2020</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绿色食品农药使用</w:t>
      </w:r>
      <w:r>
        <w:rPr>
          <w:rFonts w:hint="eastAsia"/>
          <w:lang w:val="en-US" w:eastAsia="zh-CN"/>
        </w:rPr>
        <w:t xml:space="preserve"> </w:t>
      </w:r>
      <w:r>
        <w:rPr>
          <w:rFonts w:hint="eastAsia"/>
        </w:rPr>
        <w:t>准则</w:t>
      </w:r>
    </w:p>
    <w:p w14:paraId="0384CC6D">
      <w:pPr>
        <w:pStyle w:val="56"/>
        <w:ind w:firstLine="420"/>
        <w:rPr>
          <w:rFonts w:hint="eastAsia"/>
        </w:rPr>
      </w:pPr>
      <w:r>
        <w:rPr>
          <w:rFonts w:hint="eastAsia"/>
        </w:rPr>
        <w:t>NY/T 496-2010          肥料合理使用准则 通则</w:t>
      </w:r>
    </w:p>
    <w:p w14:paraId="63FDC432">
      <w:pPr>
        <w:pStyle w:val="56"/>
        <w:ind w:firstLine="420"/>
        <w:rPr>
          <w:rFonts w:hint="eastAsia"/>
        </w:rPr>
      </w:pPr>
      <w:r>
        <w:rPr>
          <w:rFonts w:hint="eastAsia"/>
        </w:rPr>
        <w:t>NY/T 1276-2007         农药安全使用规范 总则</w:t>
      </w:r>
    </w:p>
    <w:p w14:paraId="47734D56">
      <w:pPr>
        <w:pStyle w:val="56"/>
        <w:ind w:firstLine="420"/>
        <w:rPr>
          <w:rFonts w:hint="eastAsia"/>
        </w:rPr>
      </w:pPr>
      <w:r>
        <w:rPr>
          <w:rFonts w:hint="eastAsia"/>
          <w:lang w:val="en-US" w:eastAsia="zh-CN"/>
        </w:rPr>
        <w:t>NY/T 1611-2017         玉米螟测报技术规范</w:t>
      </w:r>
      <w:r>
        <w:rPr>
          <w:rFonts w:hint="eastAsia"/>
        </w:rPr>
        <w:t xml:space="preserve"> </w:t>
      </w:r>
    </w:p>
    <w:p w14:paraId="1585E655">
      <w:pPr>
        <w:pStyle w:val="104"/>
        <w:spacing w:before="312" w:after="312"/>
      </w:pPr>
      <w:bookmarkStart w:id="39" w:name="_Toc97191425"/>
      <w:r>
        <w:rPr>
          <w:rFonts w:hint="eastAsia"/>
          <w:szCs w:val="21"/>
        </w:rPr>
        <w:t>术语和定义</w:t>
      </w:r>
      <w:bookmarkEnd w:id="39"/>
    </w:p>
    <w:sdt>
      <w:sdtPr>
        <w:id w:val="-1909835108"/>
        <w:placeholder>
          <w:docPart w:val="919DF88B3C38460C974FD1A411E2D53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BB174D4">
          <w:pPr>
            <w:pStyle w:val="56"/>
            <w:ind w:firstLine="420"/>
          </w:pPr>
          <w:bookmarkStart w:id="40" w:name="_Toc26986532"/>
          <w:bookmarkEnd w:id="40"/>
          <w:r>
            <w:t>下列术语和定义适用于本文件。</w:t>
          </w:r>
        </w:p>
      </w:sdtContent>
    </w:sdt>
    <w:p w14:paraId="2381D910">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lang w:val="en-US" w:eastAsia="zh-CN"/>
        </w:rPr>
        <w:t>绿色防控</w:t>
      </w:r>
      <w:r>
        <w:rPr>
          <w:rFonts w:hint="eastAsia" w:ascii="黑体" w:hAnsi="黑体" w:eastAsia="黑体"/>
        </w:rPr>
        <w:t xml:space="preserve">  </w:t>
      </w:r>
      <w:r>
        <w:rPr>
          <w:rFonts w:hint="eastAsia" w:ascii="黑体" w:hAnsi="黑体" w:eastAsia="黑体"/>
          <w:color w:val="000000" w:themeColor="text1"/>
          <w:lang w:val="en-US" w:eastAsia="zh-CN"/>
          <w14:textFill>
            <w14:solidFill>
              <w14:schemeClr w14:val="tx1"/>
            </w14:solidFill>
          </w14:textFill>
        </w:rPr>
        <w:t>g</w:t>
      </w:r>
      <w:r>
        <w:rPr>
          <w:rFonts w:hint="eastAsia" w:ascii="黑体" w:hAnsi="黑体" w:eastAsia="黑体"/>
          <w:color w:val="000000" w:themeColor="text1"/>
          <w14:textFill>
            <w14:solidFill>
              <w14:schemeClr w14:val="tx1"/>
            </w14:solidFill>
          </w14:textFill>
        </w:rPr>
        <w:t>reen management</w:t>
      </w:r>
    </w:p>
    <w:p w14:paraId="5EB45B5A">
      <w:pPr>
        <w:pStyle w:val="56"/>
        <w:ind w:firstLine="420"/>
        <w:rPr>
          <w:rFonts w:hint="eastAsia"/>
        </w:rPr>
      </w:pPr>
      <w:r>
        <w:rPr>
          <w:rFonts w:hint="eastAsia"/>
        </w:rPr>
        <w:t>保护农田生态系统整体性，充分利用农业防治、</w:t>
      </w:r>
      <w:r>
        <w:rPr>
          <w:rFonts w:hint="eastAsia"/>
          <w:lang w:val="en-US" w:eastAsia="zh-CN"/>
        </w:rPr>
        <w:t>物理</w:t>
      </w:r>
      <w:r>
        <w:rPr>
          <w:rFonts w:hint="eastAsia"/>
        </w:rPr>
        <w:t>防治、</w:t>
      </w:r>
      <w:r>
        <w:rPr>
          <w:rFonts w:hint="eastAsia"/>
          <w:lang w:val="en-US" w:eastAsia="zh-CN"/>
        </w:rPr>
        <w:t>生物防治、</w:t>
      </w:r>
      <w:r>
        <w:rPr>
          <w:rFonts w:hint="eastAsia"/>
        </w:rPr>
        <w:t>生态调控等非化学防治措施，必要时合理使用高效、低毒、低残留、环境友好型化学农药，将病虫害损失降到经济阈值以下，确保农作物生产安全、农产品质量安全和农业生态环境安全，达到农业增产、增收目的防控措施或技术。</w:t>
      </w:r>
    </w:p>
    <w:p w14:paraId="3383A9E5">
      <w:pPr>
        <w:pStyle w:val="223"/>
        <w:ind w:left="420" w:hanging="420" w:hangingChars="200"/>
        <w:rPr>
          <w:rFonts w:hint="eastAsia" w:ascii="黑体" w:hAnsi="黑体" w:eastAsia="黑体"/>
          <w:color w:val="000000" w:themeColor="text1"/>
          <w14:textFill>
            <w14:solidFill>
              <w14:schemeClr w14:val="tx1"/>
            </w14:solidFill>
          </w14:textFill>
        </w:rPr>
      </w:pPr>
      <w:r>
        <w:rPr>
          <w:rFonts w:ascii="黑体" w:hAnsi="黑体" w:eastAsia="黑体"/>
        </w:rPr>
        <w:br w:type="textWrapping"/>
      </w:r>
      <w:r>
        <w:rPr>
          <w:rFonts w:hint="eastAsia" w:ascii="黑体" w:hAnsi="黑体" w:eastAsia="黑体"/>
          <w:lang w:val="en-US" w:eastAsia="zh-CN"/>
        </w:rPr>
        <w:t>高粱主要病虫害</w:t>
      </w:r>
      <w:r>
        <w:rPr>
          <w:rFonts w:hint="eastAsia" w:ascii="黑体" w:hAnsi="黑体" w:eastAsia="黑体"/>
        </w:rPr>
        <w:t xml:space="preserve">  </w:t>
      </w:r>
      <w:r>
        <w:rPr>
          <w:rFonts w:hint="eastAsia" w:ascii="黑体" w:hAnsi="黑体" w:eastAsia="黑体"/>
          <w:color w:val="000000" w:themeColor="text1"/>
          <w:lang w:val="en-US" w:eastAsia="zh-CN"/>
          <w14:textFill>
            <w14:solidFill>
              <w14:schemeClr w14:val="tx1"/>
            </w14:solidFill>
          </w14:textFill>
        </w:rPr>
        <w:t>major diseases and pests of sorghum</w:t>
      </w:r>
    </w:p>
    <w:p w14:paraId="6F746D8F">
      <w:pPr>
        <w:pStyle w:val="56"/>
        <w:ind w:firstLine="420"/>
      </w:pPr>
      <w:r>
        <w:rPr>
          <w:rFonts w:hint="eastAsia"/>
        </w:rPr>
        <w:t>取食或寄生</w:t>
      </w:r>
      <w:r>
        <w:rPr>
          <w:rFonts w:hint="eastAsia"/>
          <w:lang w:val="en-US" w:eastAsia="zh-CN"/>
        </w:rPr>
        <w:t>酿酒高粱</w:t>
      </w:r>
      <w:r>
        <w:rPr>
          <w:rFonts w:hint="eastAsia"/>
        </w:rPr>
        <w:t>并对其生长发育产生危害的病原菌、昆虫等，其中</w:t>
      </w:r>
      <w:r>
        <w:rPr>
          <w:rFonts w:hint="eastAsia"/>
          <w:lang w:val="en-US" w:eastAsia="zh-CN"/>
        </w:rPr>
        <w:t>夏播</w:t>
      </w:r>
      <w:r>
        <w:rPr>
          <w:rFonts w:hint="eastAsia"/>
        </w:rPr>
        <w:t>病害主要为</w:t>
      </w:r>
      <w:r>
        <w:rPr>
          <w:rFonts w:hint="eastAsia"/>
          <w:lang w:val="en-US" w:eastAsia="zh-CN"/>
        </w:rPr>
        <w:t>炭疽病、纹枯病、大斑病、茎腐病、顶腐病等</w:t>
      </w:r>
      <w:r>
        <w:rPr>
          <w:rFonts w:hint="eastAsia"/>
        </w:rPr>
        <w:t>；虫害主要为</w:t>
      </w:r>
      <w:r>
        <w:rPr>
          <w:rFonts w:hint="eastAsia"/>
          <w:lang w:val="en-US" w:eastAsia="zh-CN"/>
        </w:rPr>
        <w:t>高粱蚜虫、高粱条螟、玉米螟、桃蛀螟、粘虫、蛴螬、地老虎、金针虫</w:t>
      </w:r>
      <w:r>
        <w:rPr>
          <w:rFonts w:hint="eastAsia"/>
        </w:rPr>
        <w:t>等</w:t>
      </w:r>
      <w:bookmarkStart w:id="41" w:name="_Toc30878"/>
      <w:bookmarkEnd w:id="41"/>
      <w:r>
        <w:rPr>
          <w:rFonts w:hint="eastAsia"/>
        </w:rPr>
        <w:t>。</w:t>
      </w:r>
    </w:p>
    <w:p w14:paraId="757C5FD5">
      <w:pPr>
        <w:pStyle w:val="104"/>
        <w:spacing w:before="312" w:after="312"/>
      </w:pPr>
      <w:r>
        <w:rPr>
          <w:rFonts w:hint="eastAsia"/>
          <w:lang w:val="en-US" w:eastAsia="zh-CN"/>
        </w:rPr>
        <w:t>防治原则</w:t>
      </w:r>
    </w:p>
    <w:p w14:paraId="5F928DC2">
      <w:pPr>
        <w:pStyle w:val="56"/>
        <w:ind w:firstLine="420"/>
      </w:pPr>
      <w:r>
        <w:rPr>
          <w:rFonts w:hint="eastAsia"/>
          <w:lang w:val="en-US" w:eastAsia="zh-CN"/>
        </w:rPr>
        <w:t>坚持“预防为主，综合防治”原则，优先采用农业防治、生物防治、生态调控防治等防治措施，合理安全高效使用化学农药，优选绿色高效农药进行精准防控。</w:t>
      </w:r>
      <w:r>
        <w:rPr>
          <w:rFonts w:hint="eastAsia"/>
        </w:rPr>
        <w:t>防控药剂按照NY/T 393-2020 绿色食品农药使用准则</w:t>
      </w:r>
      <w:r>
        <w:rPr>
          <w:rFonts w:hint="eastAsia"/>
          <w:lang w:eastAsia="zh-CN"/>
        </w:rPr>
        <w:t>，</w:t>
      </w:r>
      <w:r>
        <w:rPr>
          <w:rFonts w:hint="eastAsia"/>
          <w:lang w:val="en-US" w:eastAsia="zh-CN"/>
        </w:rPr>
        <w:t>将农药等有害物质在农田环境和粮食中的残留控制在国家标准允许的范围以内，农药使用应符合GB/T 8321（所有部分）和NY/T 1276</w:t>
      </w:r>
      <w:r>
        <w:rPr>
          <w:rFonts w:hint="eastAsia"/>
        </w:rPr>
        <w:t>-</w:t>
      </w:r>
      <w:r>
        <w:rPr>
          <w:rFonts w:hint="eastAsia"/>
          <w:lang w:val="en-US" w:eastAsia="zh-CN"/>
        </w:rPr>
        <w:t>2007，确保高粱产量和品质安全</w:t>
      </w:r>
      <w:r>
        <w:rPr>
          <w:rFonts w:hint="eastAsia"/>
        </w:rPr>
        <w:t>。</w:t>
      </w:r>
    </w:p>
    <w:p w14:paraId="2244BEF9">
      <w:pPr>
        <w:pStyle w:val="104"/>
        <w:spacing w:before="312" w:after="312"/>
      </w:pPr>
      <w:r>
        <w:rPr>
          <w:rFonts w:hint="eastAsia"/>
          <w:lang w:val="en-US" w:eastAsia="zh-CN"/>
        </w:rPr>
        <w:t>防控技术</w:t>
      </w:r>
    </w:p>
    <w:p w14:paraId="19AE957C">
      <w:pPr>
        <w:pStyle w:val="105"/>
        <w:spacing w:before="156" w:after="156"/>
      </w:pPr>
      <w:r>
        <w:rPr>
          <w:rFonts w:hint="eastAsia"/>
          <w:lang w:val="en-US" w:eastAsia="zh-CN"/>
        </w:rPr>
        <w:t>农业防治</w:t>
      </w:r>
    </w:p>
    <w:p w14:paraId="23DC4837">
      <w:pPr>
        <w:pStyle w:val="65"/>
        <w:spacing w:before="156" w:after="156"/>
      </w:pPr>
      <w:r>
        <w:rPr>
          <w:rFonts w:hint="eastAsia"/>
          <w:lang w:val="en-US" w:eastAsia="zh-CN"/>
        </w:rPr>
        <w:t>良种选用</w:t>
      </w:r>
    </w:p>
    <w:p w14:paraId="7DAB76B3">
      <w:pPr>
        <w:pStyle w:val="56"/>
        <w:ind w:firstLine="420"/>
        <w:rPr>
          <w:rFonts w:hint="eastAsia"/>
        </w:rPr>
      </w:pPr>
      <w:r>
        <w:rPr>
          <w:rFonts w:hint="eastAsia"/>
          <w:lang w:val="en-US" w:eastAsia="zh-CN"/>
        </w:rPr>
        <w:t>针对本地主要病虫害种类，</w:t>
      </w:r>
      <w:r>
        <w:rPr>
          <w:rFonts w:hint="eastAsia"/>
        </w:rPr>
        <w:t>选择适合宿迁地区</w:t>
      </w:r>
      <w:r>
        <w:rPr>
          <w:rFonts w:hint="eastAsia"/>
          <w:lang w:val="en-US" w:eastAsia="zh-CN"/>
        </w:rPr>
        <w:t>气候条件，抗逆性强、抗病抗虫性好、拱土力强</w:t>
      </w:r>
      <w:r>
        <w:rPr>
          <w:rFonts w:hint="eastAsia"/>
        </w:rPr>
        <w:t>的优良品种。</w:t>
      </w:r>
    </w:p>
    <w:p w14:paraId="14908738">
      <w:pPr>
        <w:pStyle w:val="65"/>
        <w:spacing w:before="156" w:after="156"/>
      </w:pPr>
      <w:r>
        <w:rPr>
          <w:rFonts w:hint="eastAsia"/>
          <w:lang w:val="en-US" w:eastAsia="zh-CN"/>
        </w:rPr>
        <w:t>种子要求</w:t>
      </w:r>
    </w:p>
    <w:p w14:paraId="05A5B19F">
      <w:pPr>
        <w:pStyle w:val="56"/>
        <w:ind w:firstLine="420"/>
        <w:rPr>
          <w:rFonts w:hint="eastAsia"/>
          <w:lang w:val="en-US" w:eastAsia="zh-CN"/>
        </w:rPr>
      </w:pPr>
      <w:r>
        <w:rPr>
          <w:rFonts w:hint="eastAsia"/>
        </w:rPr>
        <w:t>播种前对种子进行精选、清洁，剔除</w:t>
      </w:r>
      <w:r>
        <w:rPr>
          <w:rFonts w:hint="eastAsia"/>
          <w:lang w:val="en-US" w:eastAsia="zh-CN"/>
        </w:rPr>
        <w:t>高粱种子</w:t>
      </w:r>
      <w:r>
        <w:rPr>
          <w:rFonts w:hint="eastAsia"/>
        </w:rPr>
        <w:t>中混杂的杂草种子或</w:t>
      </w:r>
      <w:r>
        <w:rPr>
          <w:rFonts w:hint="eastAsia"/>
          <w:lang w:val="en-US" w:eastAsia="zh-CN"/>
        </w:rPr>
        <w:t>霉变种子</w:t>
      </w:r>
      <w:r>
        <w:rPr>
          <w:rFonts w:hint="eastAsia"/>
          <w:lang w:eastAsia="zh-CN"/>
        </w:rPr>
        <w:t>。</w:t>
      </w:r>
      <w:r>
        <w:rPr>
          <w:rFonts w:hint="eastAsia"/>
          <w:lang w:val="en-US" w:eastAsia="zh-CN"/>
        </w:rPr>
        <w:t>种子质量应符合GB 4404.1-2008的规定。</w:t>
      </w:r>
    </w:p>
    <w:p w14:paraId="7CC0B67E">
      <w:pPr>
        <w:pStyle w:val="65"/>
        <w:spacing w:before="156" w:after="156"/>
      </w:pPr>
      <w:r>
        <w:rPr>
          <w:rFonts w:hint="eastAsia"/>
          <w:lang w:val="en-US" w:eastAsia="zh-CN"/>
        </w:rPr>
        <w:t>轮作倒茬</w:t>
      </w:r>
    </w:p>
    <w:p w14:paraId="749E6561">
      <w:pPr>
        <w:pStyle w:val="56"/>
        <w:ind w:firstLine="420"/>
        <w:rPr>
          <w:rFonts w:hint="eastAsia"/>
        </w:rPr>
      </w:pPr>
      <w:r>
        <w:rPr>
          <w:rFonts w:hint="eastAsia"/>
          <w:lang w:val="en-US" w:eastAsia="zh-CN"/>
        </w:rPr>
        <w:t>高粱忌连作，应选择与玉米、豆类、薯类、油料等作物实行3年以上的轮作倒茬。</w:t>
      </w:r>
    </w:p>
    <w:p w14:paraId="2BC7442D">
      <w:pPr>
        <w:pStyle w:val="65"/>
        <w:spacing w:before="156" w:after="156"/>
      </w:pPr>
      <w:r>
        <w:rPr>
          <w:rFonts w:hint="eastAsia"/>
          <w:lang w:val="en-US" w:eastAsia="zh-CN"/>
        </w:rPr>
        <w:t>适期播种</w:t>
      </w:r>
    </w:p>
    <w:p w14:paraId="3458028D">
      <w:pPr>
        <w:pStyle w:val="56"/>
        <w:ind w:firstLine="420"/>
        <w:rPr>
          <w:rFonts w:hint="eastAsia"/>
        </w:rPr>
      </w:pPr>
      <w:r>
        <w:rPr>
          <w:rFonts w:hint="eastAsia"/>
          <w:lang w:val="en-US" w:eastAsia="zh-CN"/>
        </w:rPr>
        <w:t>夏播应抢墒早播，宿迁地区最迟不晚于6月底播种，适当浅播，加快高粱出苗速度。</w:t>
      </w:r>
    </w:p>
    <w:p w14:paraId="2C0A039E">
      <w:pPr>
        <w:pStyle w:val="65"/>
        <w:spacing w:before="156" w:after="156"/>
      </w:pPr>
      <w:r>
        <w:rPr>
          <w:rFonts w:hint="eastAsia"/>
          <w:lang w:val="en-US" w:eastAsia="zh-CN"/>
        </w:rPr>
        <w:t>去除弱苗、病苗</w:t>
      </w:r>
    </w:p>
    <w:p w14:paraId="082488E4">
      <w:pPr>
        <w:pStyle w:val="56"/>
        <w:ind w:firstLine="420"/>
        <w:rPr>
          <w:rFonts w:hint="eastAsia"/>
        </w:rPr>
      </w:pPr>
      <w:r>
        <w:rPr>
          <w:rFonts w:hint="eastAsia" w:ascii="宋体" w:hAnsi="Times New Roman" w:eastAsia="宋体" w:cs="Times New Roman"/>
        </w:rPr>
        <w:t>在高粱</w:t>
      </w:r>
      <w:r>
        <w:rPr>
          <w:rFonts w:ascii="宋体" w:hAnsi="Times New Roman" w:eastAsia="宋体" w:cs="Times New Roman"/>
        </w:rPr>
        <w:t>3</w:t>
      </w:r>
      <w:r>
        <w:rPr>
          <w:rFonts w:hint="eastAsia" w:ascii="宋体" w:hAnsi="Times New Roman" w:eastAsia="宋体" w:cs="Times New Roman"/>
        </w:rPr>
        <w:t>叶</w:t>
      </w:r>
      <w:r>
        <w:rPr>
          <w:rFonts w:ascii="宋体" w:hAnsi="Times New Roman" w:eastAsia="宋体" w:cs="Times New Roman"/>
        </w:rPr>
        <w:t>1</w:t>
      </w:r>
      <w:r>
        <w:rPr>
          <w:rFonts w:hint="eastAsia" w:ascii="宋体" w:hAnsi="Times New Roman" w:eastAsia="宋体" w:cs="Times New Roman"/>
        </w:rPr>
        <w:t>心到</w:t>
      </w:r>
      <w:r>
        <w:rPr>
          <w:rFonts w:ascii="宋体" w:hAnsi="Times New Roman" w:eastAsia="宋体" w:cs="Times New Roman"/>
        </w:rPr>
        <w:t>5</w:t>
      </w:r>
      <w:r>
        <w:rPr>
          <w:rFonts w:hint="eastAsia" w:ascii="宋体" w:hAnsi="Times New Roman" w:eastAsia="宋体" w:cs="Times New Roman"/>
        </w:rPr>
        <w:t>叶</w:t>
      </w:r>
      <w:r>
        <w:rPr>
          <w:rFonts w:ascii="宋体" w:hAnsi="Times New Roman" w:eastAsia="宋体" w:cs="Times New Roman"/>
        </w:rPr>
        <w:t>1</w:t>
      </w:r>
      <w:r>
        <w:rPr>
          <w:rFonts w:hint="eastAsia" w:ascii="宋体" w:hAnsi="Times New Roman" w:eastAsia="宋体" w:cs="Times New Roman"/>
        </w:rPr>
        <w:t>心期间及时</w:t>
      </w:r>
      <w:r>
        <w:rPr>
          <w:rFonts w:ascii="宋体" w:hAnsi="Times New Roman" w:eastAsia="宋体" w:cs="Times New Roman"/>
        </w:rPr>
        <w:t>间苗</w:t>
      </w:r>
      <w:r>
        <w:rPr>
          <w:rFonts w:hint="eastAsia" w:ascii="宋体" w:hAnsi="Times New Roman" w:eastAsia="宋体" w:cs="Times New Roman"/>
        </w:rPr>
        <w:t>和</w:t>
      </w:r>
      <w:r>
        <w:rPr>
          <w:rFonts w:ascii="宋体" w:hAnsi="Times New Roman" w:eastAsia="宋体" w:cs="Times New Roman"/>
        </w:rPr>
        <w:t>定苗</w:t>
      </w:r>
      <w:r>
        <w:rPr>
          <w:rFonts w:hint="eastAsia" w:ascii="宋体" w:hAnsi="Times New Roman" w:eastAsia="宋体" w:cs="Times New Roman"/>
          <w:lang w:eastAsia="zh-CN"/>
        </w:rPr>
        <w:t>，</w:t>
      </w:r>
      <w:r>
        <w:rPr>
          <w:rFonts w:hint="eastAsia" w:ascii="宋体" w:hAnsi="Times New Roman" w:eastAsia="宋体" w:cs="Times New Roman"/>
          <w:lang w:val="en-US" w:eastAsia="zh-CN"/>
        </w:rPr>
        <w:t>拔出弱苗、小苗和病苗，病苗带出田外集中销毁</w:t>
      </w:r>
      <w:r>
        <w:rPr>
          <w:rFonts w:ascii="宋体" w:hAnsi="Times New Roman" w:eastAsia="宋体" w:cs="Times New Roman"/>
        </w:rPr>
        <w:t>。</w:t>
      </w:r>
    </w:p>
    <w:p w14:paraId="40FA0564">
      <w:pPr>
        <w:pStyle w:val="65"/>
        <w:spacing w:before="156" w:after="156"/>
      </w:pPr>
      <w:r>
        <w:rPr>
          <w:rFonts w:hint="eastAsia"/>
          <w:lang w:val="en-US" w:eastAsia="zh-CN"/>
        </w:rPr>
        <w:t>合理肥水</w:t>
      </w:r>
    </w:p>
    <w:p w14:paraId="766E7696">
      <w:pPr>
        <w:pStyle w:val="56"/>
        <w:ind w:firstLine="420"/>
        <w:rPr>
          <w:rFonts w:hint="eastAsia"/>
          <w:lang w:val="en-US" w:eastAsia="zh-CN"/>
        </w:rPr>
      </w:pPr>
      <w:r>
        <w:rPr>
          <w:rFonts w:hint="eastAsia"/>
          <w:lang w:val="en-US" w:eastAsia="zh-CN"/>
        </w:rPr>
        <w:t>结合播前土壤旋耕，每667.7 m</w:t>
      </w:r>
      <w:r>
        <w:rPr>
          <w:rFonts w:hint="eastAsia"/>
          <w:vertAlign w:val="superscript"/>
          <w:lang w:val="en-US" w:eastAsia="zh-CN"/>
        </w:rPr>
        <w:t>2</w:t>
      </w:r>
      <w:r>
        <w:rPr>
          <w:rFonts w:hint="eastAsia"/>
          <w:lang w:val="en-US" w:eastAsia="zh-CN"/>
        </w:rPr>
        <w:t>施充分腐熟有机肥2000 kg～3000 kg，施缓释或施45%复合肥40 kg～50 kg做底肥，提高高粱抗病能力，肥料施用应符合NY/T 496-2010的规定。生育期间特别在孕穗期和灌浆期，遇干旱及时灌溉，在多雨季节应及时排水。</w:t>
      </w:r>
    </w:p>
    <w:p w14:paraId="617556D9">
      <w:pPr>
        <w:pStyle w:val="105"/>
        <w:spacing w:before="156" w:after="156"/>
      </w:pPr>
      <w:r>
        <w:rPr>
          <w:rFonts w:hint="eastAsia"/>
          <w:lang w:val="en-US" w:eastAsia="zh-CN"/>
        </w:rPr>
        <w:t>物理防治</w:t>
      </w:r>
    </w:p>
    <w:p w14:paraId="484CAEF4">
      <w:pPr>
        <w:pStyle w:val="65"/>
        <w:spacing w:before="156" w:after="156"/>
      </w:pPr>
      <w:r>
        <w:rPr>
          <w:rFonts w:hint="eastAsia"/>
          <w:lang w:val="en-US" w:eastAsia="zh-CN"/>
        </w:rPr>
        <w:t>诱虫灯防控</w:t>
      </w:r>
    </w:p>
    <w:p w14:paraId="6258898B">
      <w:pPr>
        <w:pStyle w:val="56"/>
        <w:rPr>
          <w:rFonts w:hint="eastAsia"/>
          <w:lang w:val="en-US" w:eastAsia="zh-CN"/>
        </w:rPr>
      </w:pPr>
      <w:r>
        <w:rPr>
          <w:rFonts w:hint="eastAsia"/>
          <w:lang w:val="en-US" w:eastAsia="zh-CN"/>
        </w:rPr>
        <w:t>6月至8月，田间连片设置杀虫灯，诱杀地老虎、玉米螟、粘虫、棉铃虫、金龟子等害虫成虫，减少田间落卵量，一般每3 hm</w:t>
      </w:r>
      <w:r>
        <w:rPr>
          <w:rFonts w:hint="eastAsia"/>
          <w:vertAlign w:val="superscript"/>
          <w:lang w:val="en-US" w:eastAsia="zh-CN"/>
        </w:rPr>
        <w:t>2</w:t>
      </w:r>
      <w:r>
        <w:rPr>
          <w:rFonts w:hint="eastAsia"/>
        </w:rPr>
        <w:t>～</w:t>
      </w:r>
      <w:r>
        <w:rPr>
          <w:rFonts w:hint="eastAsia"/>
          <w:lang w:val="en-US" w:eastAsia="zh-CN"/>
        </w:rPr>
        <w:t>4 hm</w:t>
      </w:r>
      <w:r>
        <w:rPr>
          <w:rFonts w:hint="eastAsia"/>
          <w:vertAlign w:val="superscript"/>
          <w:lang w:val="en-US" w:eastAsia="zh-CN"/>
        </w:rPr>
        <w:t>2</w:t>
      </w:r>
      <w:r>
        <w:rPr>
          <w:rFonts w:hint="eastAsia"/>
          <w:lang w:val="en-US" w:eastAsia="zh-CN"/>
        </w:rPr>
        <w:t>安装一盏杀虫灯，安装高度1.5 m</w:t>
      </w:r>
      <w:r>
        <w:rPr>
          <w:rFonts w:hint="eastAsia"/>
        </w:rPr>
        <w:t>～</w:t>
      </w:r>
      <w:r>
        <w:rPr>
          <w:rFonts w:hint="eastAsia"/>
          <w:lang w:val="en-US" w:eastAsia="zh-CN"/>
        </w:rPr>
        <w:t>2 m。灯安装在开阔处，不宜被建筑物或树木遮挡。每天傍晚开灯，次日清晨关灯。注意及时清理虫体、污垢等；雷雨天不要开灯，通电后不要触碰高压电网。</w:t>
      </w:r>
    </w:p>
    <w:p w14:paraId="6A28AA02">
      <w:pPr>
        <w:pStyle w:val="65"/>
        <w:spacing w:before="156" w:after="156"/>
      </w:pPr>
      <w:r>
        <w:rPr>
          <w:rFonts w:hint="eastAsia"/>
          <w:lang w:val="en-US" w:eastAsia="zh-CN"/>
        </w:rPr>
        <w:t>性信息素诱杀</w:t>
      </w:r>
    </w:p>
    <w:p w14:paraId="3707635C">
      <w:pPr>
        <w:pStyle w:val="56"/>
      </w:pPr>
      <w:r>
        <w:rPr>
          <w:rFonts w:hint="eastAsia"/>
          <w:lang w:val="en-US" w:eastAsia="zh-CN"/>
        </w:rPr>
        <w:t>根据靶标害虫种类和发生情况选择相应的性诱剂，一般每667.7 m</w:t>
      </w:r>
      <w:r>
        <w:rPr>
          <w:rFonts w:hint="eastAsia"/>
          <w:vertAlign w:val="superscript"/>
          <w:lang w:val="en-US" w:eastAsia="zh-CN"/>
        </w:rPr>
        <w:t>2</w:t>
      </w:r>
      <w:r>
        <w:rPr>
          <w:rFonts w:hint="eastAsia"/>
          <w:lang w:val="en-US" w:eastAsia="zh-CN"/>
        </w:rPr>
        <w:t>安装2个～3个，适时更换诱芯，及时收集处理诱集到的害虫。</w:t>
      </w:r>
    </w:p>
    <w:p w14:paraId="130487E2">
      <w:pPr>
        <w:pStyle w:val="65"/>
        <w:spacing w:before="156" w:after="156"/>
      </w:pPr>
      <w:r>
        <w:rPr>
          <w:rFonts w:hint="eastAsia"/>
          <w:lang w:val="en-US" w:eastAsia="zh-CN"/>
        </w:rPr>
        <w:t>色板诱杀</w:t>
      </w:r>
    </w:p>
    <w:p w14:paraId="4DF339F1">
      <w:pPr>
        <w:pStyle w:val="56"/>
        <w:rPr>
          <w:rFonts w:hint="eastAsia"/>
          <w:lang w:val="en-US" w:eastAsia="zh-CN"/>
        </w:rPr>
      </w:pPr>
      <w:r>
        <w:rPr>
          <w:rFonts w:hint="eastAsia"/>
          <w:lang w:val="en-US" w:eastAsia="zh-CN"/>
        </w:rPr>
        <w:t>根据有翅蚜等靶标害虫的发生情况，每667.7 m</w:t>
      </w:r>
      <w:r>
        <w:rPr>
          <w:rFonts w:hint="eastAsia"/>
          <w:vertAlign w:val="superscript"/>
          <w:lang w:val="en-US" w:eastAsia="zh-CN"/>
        </w:rPr>
        <w:t>2</w:t>
      </w:r>
      <w:r>
        <w:rPr>
          <w:rFonts w:hint="eastAsia"/>
          <w:lang w:val="en-US" w:eastAsia="zh-CN"/>
        </w:rPr>
        <w:t>悬挂20张～30张全降解色板进行诱杀，根据诱虫量和色板粘黏度及时更换、回收并集中处置。</w:t>
      </w:r>
    </w:p>
    <w:p w14:paraId="314151D6">
      <w:pPr>
        <w:pStyle w:val="105"/>
        <w:spacing w:before="156" w:after="156"/>
      </w:pPr>
      <w:r>
        <w:rPr>
          <w:rFonts w:hint="eastAsia"/>
          <w:lang w:val="en-US" w:eastAsia="zh-CN"/>
        </w:rPr>
        <w:t>生物防治</w:t>
      </w:r>
    </w:p>
    <w:p w14:paraId="7FB6213F">
      <w:pPr>
        <w:pStyle w:val="65"/>
        <w:spacing w:before="156" w:after="156"/>
      </w:pPr>
      <w:r>
        <w:rPr>
          <w:rFonts w:hint="eastAsia"/>
          <w:lang w:val="en-US" w:eastAsia="zh-CN"/>
        </w:rPr>
        <w:t>利用天敌控制害虫</w:t>
      </w:r>
    </w:p>
    <w:p w14:paraId="5B2D07DA">
      <w:pPr>
        <w:pStyle w:val="56"/>
        <w:rPr>
          <w:rFonts w:hint="eastAsia"/>
          <w:lang w:val="en-US" w:eastAsia="zh-CN"/>
        </w:rPr>
      </w:pPr>
      <w:r>
        <w:rPr>
          <w:rFonts w:hint="eastAsia"/>
          <w:lang w:val="en-US" w:eastAsia="zh-CN"/>
        </w:rPr>
        <w:t>根据玉米螟、桃蛀螟等靶标害虫发生时间，选择螟虫一代羽化高峰期（宿迁本地约为7月中上旬）第一次释放松毛虫赤眼蜂，每667.7 m</w:t>
      </w:r>
      <w:r>
        <w:rPr>
          <w:rFonts w:hint="eastAsia"/>
          <w:vertAlign w:val="superscript"/>
          <w:lang w:val="en-US" w:eastAsia="zh-CN"/>
        </w:rPr>
        <w:t>2</w:t>
      </w:r>
      <w:r>
        <w:rPr>
          <w:rFonts w:hint="eastAsia"/>
          <w:lang w:val="en-US" w:eastAsia="zh-CN"/>
        </w:rPr>
        <w:t>释放量为10000头～15000头，间隔5 d～7 d之后释放第二次，每667.7 m</w:t>
      </w:r>
      <w:r>
        <w:rPr>
          <w:rFonts w:hint="eastAsia"/>
          <w:vertAlign w:val="superscript"/>
          <w:lang w:val="en-US" w:eastAsia="zh-CN"/>
        </w:rPr>
        <w:t>2</w:t>
      </w:r>
      <w:r>
        <w:rPr>
          <w:rFonts w:hint="eastAsia"/>
          <w:lang w:val="en-US" w:eastAsia="zh-CN"/>
        </w:rPr>
        <w:t>释放量为15000头。</w:t>
      </w:r>
    </w:p>
    <w:p w14:paraId="79D37582">
      <w:pPr>
        <w:pStyle w:val="65"/>
        <w:spacing w:before="156" w:after="156"/>
      </w:pPr>
      <w:r>
        <w:rPr>
          <w:rFonts w:hint="eastAsia"/>
          <w:lang w:val="en-US" w:eastAsia="zh-CN"/>
        </w:rPr>
        <w:t>生物药剂防治害虫害</w:t>
      </w:r>
    </w:p>
    <w:p w14:paraId="27395021">
      <w:pPr>
        <w:pStyle w:val="56"/>
        <w:rPr>
          <w:rFonts w:hint="eastAsia"/>
          <w:lang w:val="en-US" w:eastAsia="zh-CN"/>
        </w:rPr>
      </w:pPr>
      <w:r>
        <w:rPr>
          <w:rFonts w:hint="eastAsia"/>
          <w:lang w:val="en-US" w:eastAsia="zh-CN"/>
        </w:rPr>
        <w:t>按照NYT 393-2020绿色食品农药使用准则，选用生物防治产品防治病虫害。如可以选择苏云金杆菌或印楝素等生物农药防治玉米螟、黏虫、棉铃虫等鳞翅目害虫卵孵化初期或幼虫低龄期；枯草芽孢杆菌防治大斑类病害发生初期。</w:t>
      </w:r>
    </w:p>
    <w:p w14:paraId="4538435B">
      <w:pPr>
        <w:pStyle w:val="65"/>
        <w:spacing w:before="156" w:after="156"/>
      </w:pPr>
      <w:r>
        <w:rPr>
          <w:rFonts w:hint="eastAsia"/>
          <w:lang w:val="en-US" w:eastAsia="zh-CN"/>
        </w:rPr>
        <w:t>免疫诱抗</w:t>
      </w:r>
    </w:p>
    <w:p w14:paraId="051C1663">
      <w:pPr>
        <w:pStyle w:val="56"/>
        <w:rPr>
          <w:rFonts w:hint="eastAsia"/>
          <w:lang w:val="en-US" w:eastAsia="zh-CN"/>
        </w:rPr>
      </w:pPr>
      <w:r>
        <w:rPr>
          <w:rFonts w:hint="eastAsia"/>
          <w:lang w:val="en-US" w:eastAsia="zh-CN"/>
        </w:rPr>
        <w:t>在高粱拔节期和始穗期分别喷施1次植物免疫诱抗剂。</w:t>
      </w:r>
    </w:p>
    <w:p w14:paraId="03398EF2">
      <w:pPr>
        <w:pStyle w:val="105"/>
        <w:spacing w:before="156" w:after="156"/>
        <w:rPr>
          <w:rFonts w:hint="eastAsia"/>
          <w:lang w:val="en-US" w:eastAsia="zh-CN"/>
        </w:rPr>
      </w:pPr>
      <w:r>
        <w:rPr>
          <w:rFonts w:hint="eastAsia"/>
          <w:lang w:val="en-US" w:eastAsia="zh-CN"/>
        </w:rPr>
        <w:t>生态调控防治</w:t>
      </w:r>
    </w:p>
    <w:p w14:paraId="7B4E24F5">
      <w:pPr>
        <w:pStyle w:val="56"/>
        <w:rPr>
          <w:rFonts w:hint="eastAsia" w:ascii="Times New Roman"/>
          <w:szCs w:val="22"/>
          <w:lang w:val="en-US" w:eastAsia="zh-CN"/>
        </w:rPr>
      </w:pPr>
      <w:r>
        <w:rPr>
          <w:rFonts w:hint="default" w:ascii="Times New Roman"/>
          <w:szCs w:val="22"/>
          <w:lang w:val="en-US" w:eastAsia="zh-CN"/>
        </w:rPr>
        <w:t>充分利用作物—有害生物—天敌间的相互作用，调节农田生态系统内部的生物因素防治病虫害。如田埂边种植</w:t>
      </w:r>
      <w:r>
        <w:rPr>
          <w:rFonts w:hint="eastAsia" w:ascii="Times New Roman"/>
          <w:szCs w:val="22"/>
          <w:lang w:val="en-US" w:eastAsia="zh-CN"/>
        </w:rPr>
        <w:t>紫花苜蓿、芝麻等显花植物涵养天敌，或 1~2 行苘麻，诱集草铃、瓢虫、食蚜蝇、捕食蜘蛛等自然天敌昆虫繁殖，利用天敌控制害虫。</w:t>
      </w:r>
    </w:p>
    <w:p w14:paraId="2693F850">
      <w:pPr>
        <w:pStyle w:val="105"/>
        <w:spacing w:before="156" w:after="156"/>
        <w:rPr>
          <w:rFonts w:hint="eastAsia"/>
          <w:lang w:val="en-US" w:eastAsia="zh-CN"/>
        </w:rPr>
      </w:pPr>
      <w:r>
        <w:rPr>
          <w:rFonts w:hint="eastAsia"/>
          <w:lang w:val="en-US" w:eastAsia="zh-CN"/>
        </w:rPr>
        <w:t>化学防治</w:t>
      </w:r>
    </w:p>
    <w:p w14:paraId="71EC2DC6">
      <w:pPr>
        <w:pStyle w:val="56"/>
        <w:rPr>
          <w:rFonts w:hint="default"/>
          <w:lang w:val="en-US" w:eastAsia="zh-CN"/>
        </w:rPr>
      </w:pPr>
      <w:r>
        <w:rPr>
          <w:rFonts w:hint="default"/>
          <w:lang w:val="en-US" w:eastAsia="zh-CN"/>
        </w:rPr>
        <w:t>所有防治的化学农药需要取得合法的农药登记证，使用符合GB/T 8321（所有部分）农药合理使用准则和NY/T 1276-2007 农药安</w:t>
      </w:r>
      <w:bookmarkStart w:id="44" w:name="_GoBack"/>
      <w:bookmarkEnd w:id="44"/>
      <w:r>
        <w:rPr>
          <w:rFonts w:hint="default"/>
          <w:lang w:val="en-US" w:eastAsia="zh-CN"/>
        </w:rPr>
        <w:t>全使用规范总则。药剂按照NY/T 393-2020 绿色食品农药使用准则。</w:t>
      </w:r>
    </w:p>
    <w:p w14:paraId="2FF282C4">
      <w:pPr>
        <w:pStyle w:val="65"/>
        <w:spacing w:before="156" w:after="156"/>
      </w:pPr>
      <w:r>
        <w:rPr>
          <w:rFonts w:hint="eastAsia"/>
          <w:lang w:val="en-US" w:eastAsia="zh-CN"/>
        </w:rPr>
        <w:t>种子处理</w:t>
      </w:r>
    </w:p>
    <w:p w14:paraId="71219BCD">
      <w:pPr>
        <w:pStyle w:val="56"/>
        <w:rPr>
          <w:rFonts w:hint="eastAsia"/>
          <w:lang w:val="en-US" w:eastAsia="zh-CN"/>
        </w:rPr>
      </w:pPr>
      <w:r>
        <w:rPr>
          <w:rFonts w:hint="eastAsia"/>
          <w:lang w:val="en-US" w:eastAsia="zh-CN"/>
        </w:rPr>
        <w:t>根据高粱栽培地苗期病虫害发生情况，在炭疽病等病害发生较严重的区域，在高粱播种前使用含咯菌腈、戊唑醇或苯醚甲环唑等成分的种子处理剂进行拌种包衣处理；在苗期虫害发生较严重的区域，使用含氯虫苯甲酰胺、噻虫嗪、吡虫啉或噻虫胺等成分的种子处理剂进行拌种包衣处理。注意杀菌剂与微生物菌剂不可同时使用。种子处理应符合GB/T 15671-2009的规定。</w:t>
      </w:r>
    </w:p>
    <w:p w14:paraId="453AB204">
      <w:pPr>
        <w:pStyle w:val="65"/>
        <w:spacing w:before="156" w:after="156"/>
      </w:pPr>
      <w:r>
        <w:rPr>
          <w:rFonts w:hint="eastAsia"/>
          <w:lang w:val="en-US" w:eastAsia="zh-CN"/>
        </w:rPr>
        <w:t>病害防治</w:t>
      </w:r>
    </w:p>
    <w:p w14:paraId="1A528242">
      <w:pPr>
        <w:pStyle w:val="94"/>
        <w:spacing w:before="156" w:after="156"/>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炭疽病在高粱喇叭口期和始穗期重点防治。可施用含苯醚甲环唑、嘧菌酯、戊唑醇、多菌灵等有效成分的药剂进行防治。如果孕穗期出现连续阴雨高温高湿天气，在第1次用药后7天进行第2次防治，具体方法参见附录A。</w:t>
      </w:r>
    </w:p>
    <w:p w14:paraId="4A0647A6">
      <w:pPr>
        <w:pStyle w:val="94"/>
        <w:spacing w:before="156" w:after="156"/>
        <w:rPr>
          <w:rFonts w:hint="eastAsia" w:ascii="Times New Roman" w:hAnsi="Times New Roman" w:cs="Times New Roman"/>
          <w:kern w:val="0"/>
          <w:szCs w:val="22"/>
          <w:lang w:val="en-US" w:eastAsia="zh-CN"/>
        </w:rPr>
      </w:pPr>
      <w:r>
        <w:rPr>
          <w:rFonts w:hint="eastAsia" w:ascii="宋体" w:hAnsi="Times New Roman" w:eastAsia="宋体" w:cs="Times New Roman"/>
          <w:sz w:val="21"/>
          <w:lang w:val="en-US" w:eastAsia="zh-CN" w:bidi="ar-SA"/>
        </w:rPr>
        <w:t>纹枯病在夏季高温多雨时容易发生，在发病初期可施用井冈霉素根茎部防治，具体方法参见附录A。</w:t>
      </w:r>
    </w:p>
    <w:p w14:paraId="393773A3">
      <w:pPr>
        <w:pStyle w:val="65"/>
        <w:spacing w:before="156" w:after="156"/>
      </w:pPr>
      <w:r>
        <w:rPr>
          <w:rFonts w:hint="eastAsia"/>
          <w:lang w:val="en-US" w:eastAsia="zh-CN"/>
        </w:rPr>
        <w:t>虫害防治</w:t>
      </w:r>
    </w:p>
    <w:p w14:paraId="14F42B69">
      <w:pPr>
        <w:pStyle w:val="94"/>
        <w:spacing w:before="156" w:after="156"/>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根据GB/T 15804-2011高粱蚜测报调查规范要求，对高粱蚜虫田间数量进行监测。早期消灭中心蚜株，可轻剪有蚜底叶，带出田外销毁。当有蚜株率达15%或100株蚜虫量大于1000头，有“油株”出现，在达到防治指标或者相关部分发布防治要求时及时采用吡虫啉、啶虫脒等有效成分的药剂进行防治，具体方法参见附录A。</w:t>
      </w:r>
    </w:p>
    <w:p w14:paraId="3473E5E3">
      <w:pPr>
        <w:pStyle w:val="94"/>
        <w:spacing w:before="156" w:after="156"/>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按照NY/T 1611-2017玉米螟测报技术规范，对玉米螟田间进行数量监测。高粱花叶率在20%以上需全面防治，化学防治时期为大喇叭口期、始穗期至灌浆期，可选用含氯虫苯甲酰胺、阿维菌素等有效成分的药剂进行防治，具体方法参见附录A。</w:t>
      </w:r>
    </w:p>
    <w:p w14:paraId="0F2484CF">
      <w:pPr>
        <w:pStyle w:val="94"/>
        <w:spacing w:before="156" w:after="156"/>
        <w:rPr>
          <w:rFonts w:hint="eastAsia"/>
          <w:lang w:val="en-US" w:eastAsia="zh-CN"/>
        </w:rPr>
      </w:pPr>
      <w:r>
        <w:rPr>
          <w:rFonts w:hint="eastAsia" w:ascii="宋体" w:hAnsi="Times New Roman" w:eastAsia="宋体" w:cs="Times New Roman"/>
          <w:sz w:val="21"/>
          <w:lang w:val="en-US" w:eastAsia="zh-CN" w:bidi="ar-SA"/>
        </w:rPr>
        <w:t>其它害虫如桃蛀螟、高粱条螟发生较重的地区，可在重发田块，采用含阿维菌素、氯虫苯甲酰胺等有效成分的化学药剂进行防治，具体方法参见附录A。</w:t>
      </w:r>
    </w:p>
    <w:p w14:paraId="06713614">
      <w:pPr>
        <w:pStyle w:val="65"/>
        <w:spacing w:before="156" w:after="156"/>
      </w:pPr>
      <w:r>
        <w:rPr>
          <w:rFonts w:hint="eastAsia"/>
          <w:lang w:val="en-US" w:eastAsia="zh-CN"/>
        </w:rPr>
        <w:t>注意事项</w:t>
      </w:r>
    </w:p>
    <w:p w14:paraId="53BDF607">
      <w:pPr>
        <w:pStyle w:val="56"/>
        <w:rPr>
          <w:rFonts w:hint="eastAsia" w:ascii="宋体" w:hAnsi="Times New Roman" w:eastAsia="宋体" w:cs="Times New Roman"/>
          <w:lang w:val="en-US" w:eastAsia="zh-CN"/>
        </w:rPr>
      </w:pPr>
      <w:r>
        <w:rPr>
          <w:rFonts w:hint="eastAsia" w:ascii="宋体" w:hAnsi="Times New Roman" w:eastAsia="宋体" w:cs="Times New Roman"/>
          <w:lang w:val="en-US" w:eastAsia="zh-CN"/>
        </w:rPr>
        <w:t>高粱对敌敌畏、敌百虫、辛硫磷、马拉硫磷、倍硫磷、杀螟硫磷、丙溴磷、高效氟氯氰菊酯、有机氯、杀螟松、波尔多液、石硫合剂等农药敏感，严禁使用</w:t>
      </w:r>
      <w:r>
        <w:rPr>
          <w:rFonts w:hint="default" w:ascii="宋体" w:hAnsi="Times New Roman" w:eastAsia="宋体" w:cs="Times New Roman"/>
          <w:lang w:val="en-US" w:eastAsia="zh-CN"/>
        </w:rPr>
        <w:t>。现代农药产品大多是含多种成分的复配农药，在选用新农药品种时</w:t>
      </w:r>
      <w:r>
        <w:rPr>
          <w:rFonts w:hint="eastAsia" w:ascii="宋体" w:hAnsi="Times New Roman" w:eastAsia="宋体" w:cs="Times New Roman"/>
          <w:lang w:val="en-US" w:eastAsia="zh-CN"/>
        </w:rPr>
        <w:t>尽量先小面积试用后再在大田使用。</w:t>
      </w:r>
    </w:p>
    <w:p w14:paraId="2D13CA7F">
      <w:pPr>
        <w:pStyle w:val="65"/>
        <w:spacing w:before="156" w:after="156"/>
      </w:pPr>
      <w:r>
        <w:rPr>
          <w:rFonts w:hint="eastAsia"/>
          <w:lang w:val="en-US" w:eastAsia="zh-CN"/>
        </w:rPr>
        <w:t>安全防护</w:t>
      </w:r>
    </w:p>
    <w:p w14:paraId="3B994D78">
      <w:pPr>
        <w:pStyle w:val="56"/>
        <w:rPr>
          <w:rFonts w:hint="eastAsia" w:ascii="宋体" w:hAnsi="Times New Roman" w:eastAsia="宋体" w:cs="Times New Roman"/>
          <w:lang w:val="en-US" w:eastAsia="zh-CN"/>
        </w:rPr>
      </w:pPr>
      <w:r>
        <w:rPr>
          <w:rFonts w:hint="eastAsia" w:ascii="宋体" w:hAnsi="Times New Roman" w:eastAsia="宋体" w:cs="Times New Roman"/>
          <w:lang w:val="en-US" w:eastAsia="zh-CN"/>
        </w:rPr>
        <w:t>在施药期间不得饮酒、抽烟；人工施药时应戴口罩、穿工作服，或穿长衣、长裤和雨鞋等做好防护，施药结束后立即用肥皂洗手、洗脸、用净水漱口。</w:t>
      </w:r>
    </w:p>
    <w:p w14:paraId="655AEE65">
      <w:pPr>
        <w:pStyle w:val="104"/>
        <w:spacing w:before="312" w:after="312"/>
        <w:rPr>
          <w:rFonts w:hint="eastAsia"/>
        </w:rPr>
      </w:pPr>
      <w:r>
        <w:rPr>
          <w:rFonts w:hint="eastAsia"/>
          <w:lang w:val="en-US" w:eastAsia="zh-CN"/>
        </w:rPr>
        <w:t>防控记录</w:t>
      </w:r>
    </w:p>
    <w:p w14:paraId="33F7274B">
      <w:pPr>
        <w:pStyle w:val="56"/>
        <w:ind w:firstLine="420"/>
        <w:rPr>
          <w:rFonts w:hint="eastAsia"/>
        </w:rPr>
      </w:pPr>
      <w:r>
        <w:rPr>
          <w:rFonts w:hint="eastAsia" w:ascii="Times New Roman" w:hAnsi="Times New Roman" w:eastAsia="宋体" w:cs="Times New Roman"/>
          <w:szCs w:val="22"/>
          <w:lang w:val="en-US" w:eastAsia="zh-CN"/>
        </w:rPr>
        <w:t>防控记录</w:t>
      </w:r>
      <w:r>
        <w:rPr>
          <w:kern w:val="0"/>
          <w:szCs w:val="22"/>
        </w:rPr>
        <w:t>建立防</w:t>
      </w:r>
      <w:r>
        <w:rPr>
          <w:rFonts w:hint="eastAsia"/>
          <w:kern w:val="0"/>
          <w:szCs w:val="22"/>
        </w:rPr>
        <w:t>控</w:t>
      </w:r>
      <w:r>
        <w:rPr>
          <w:kern w:val="0"/>
          <w:szCs w:val="22"/>
        </w:rPr>
        <w:t>台账，做好各项绿色防控措施记录，尤其每次化学防治</w:t>
      </w:r>
      <w:r>
        <w:rPr>
          <w:rFonts w:hint="eastAsia"/>
          <w:kern w:val="0"/>
          <w:szCs w:val="22"/>
        </w:rPr>
        <w:t>需</w:t>
      </w:r>
      <w:r>
        <w:rPr>
          <w:kern w:val="0"/>
          <w:szCs w:val="22"/>
        </w:rPr>
        <w:t>记录</w:t>
      </w:r>
      <w:r>
        <w:rPr>
          <w:rFonts w:hint="eastAsia"/>
          <w:kern w:val="0"/>
          <w:szCs w:val="22"/>
        </w:rPr>
        <w:t>天气状况、</w:t>
      </w:r>
      <w:r>
        <w:rPr>
          <w:kern w:val="0"/>
          <w:szCs w:val="22"/>
        </w:rPr>
        <w:t>用药品种、剂量及时间、农事操作等。记录保存时间不少于</w:t>
      </w:r>
      <w:r>
        <w:rPr>
          <w:rFonts w:hint="default" w:ascii="Times New Roman" w:hAnsi="Times New Roman" w:cs="Times New Roman"/>
          <w:kern w:val="0"/>
          <w:szCs w:val="22"/>
        </w:rPr>
        <w:t>2</w:t>
      </w:r>
      <w:r>
        <w:rPr>
          <w:kern w:val="0"/>
          <w:szCs w:val="22"/>
        </w:rPr>
        <w:t>年</w:t>
      </w:r>
      <w:r>
        <w:rPr>
          <w:rFonts w:hint="eastAsia"/>
          <w:kern w:val="0"/>
          <w:szCs w:val="22"/>
          <w:lang w:eastAsia="zh-CN"/>
        </w:rPr>
        <w:t>。</w:t>
      </w:r>
    </w:p>
    <w:p w14:paraId="3C4C9F15">
      <w:pPr>
        <w:pStyle w:val="56"/>
        <w:ind w:firstLine="420"/>
      </w:pPr>
    </w:p>
    <w:p w14:paraId="64ABC02F">
      <w:pPr>
        <w:pStyle w:val="56"/>
        <w:ind w:firstLine="420"/>
      </w:pPr>
    </w:p>
    <w:p w14:paraId="10D26BD4">
      <w:pPr>
        <w:pStyle w:val="56"/>
        <w:ind w:firstLine="420"/>
      </w:pPr>
    </w:p>
    <w:p w14:paraId="03F84EB6">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p>
    <w:bookmarkEnd w:id="19"/>
    <w:p w14:paraId="1A8E0A6B">
      <w:pPr>
        <w:pStyle w:val="198"/>
        <w:rPr>
          <w:vanish w:val="0"/>
        </w:rPr>
      </w:pPr>
      <w:bookmarkStart w:id="42" w:name="BookMark5"/>
    </w:p>
    <w:p w14:paraId="64729C92">
      <w:pPr>
        <w:pStyle w:val="199"/>
        <w:rPr>
          <w:vanish w:val="0"/>
        </w:rPr>
      </w:pPr>
    </w:p>
    <w:p w14:paraId="19F5A3FF">
      <w:pPr>
        <w:pStyle w:val="76"/>
        <w:spacing w:after="156"/>
        <w:rPr>
          <w:rFonts w:hint="eastAsia"/>
        </w:rPr>
      </w:pPr>
      <w:r>
        <w:br w:type="textWrapping"/>
      </w:r>
      <w:r>
        <w:rPr>
          <w:rFonts w:hint="eastAsia"/>
        </w:rPr>
        <w:t>（资料性）</w:t>
      </w:r>
      <w:r>
        <w:br w:type="textWrapping"/>
      </w:r>
      <w:r>
        <w:rPr>
          <w:rFonts w:hint="eastAsia"/>
          <w:lang w:val="en-US" w:eastAsia="zh-CN"/>
        </w:rPr>
        <w:t>高粱主要病虫害绿色药剂防治方法</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1"/>
        <w:gridCol w:w="2769"/>
        <w:gridCol w:w="2455"/>
        <w:gridCol w:w="1256"/>
        <w:gridCol w:w="1479"/>
      </w:tblGrid>
      <w:tr w14:paraId="691B5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1" w:type="pct"/>
            <w:noWrap w:val="0"/>
            <w:vAlign w:val="center"/>
          </w:tcPr>
          <w:p w14:paraId="2E092587">
            <w:pPr>
              <w:pStyle w:val="56"/>
              <w:ind w:left="0" w:leftChars="0" w:firstLine="0" w:firstLineChars="0"/>
              <w:jc w:val="center"/>
              <w:rPr>
                <w:rFonts w:hint="default"/>
                <w:lang w:val="en-US" w:eastAsia="zh-CN"/>
              </w:rPr>
            </w:pPr>
            <w:r>
              <w:rPr>
                <w:rFonts w:hint="default"/>
                <w:lang w:val="en-US" w:eastAsia="zh-CN"/>
              </w:rPr>
              <w:t>防治对象</w:t>
            </w:r>
          </w:p>
        </w:tc>
        <w:tc>
          <w:tcPr>
            <w:tcW w:w="1446" w:type="pct"/>
            <w:noWrap w:val="0"/>
            <w:vAlign w:val="center"/>
          </w:tcPr>
          <w:p w14:paraId="28E311DC">
            <w:pPr>
              <w:pStyle w:val="56"/>
              <w:ind w:left="0" w:leftChars="0" w:firstLine="0" w:firstLineChars="0"/>
              <w:jc w:val="center"/>
              <w:rPr>
                <w:rFonts w:hint="default"/>
                <w:lang w:val="en-US" w:eastAsia="zh-CN"/>
              </w:rPr>
            </w:pPr>
            <w:r>
              <w:rPr>
                <w:rFonts w:hint="default"/>
                <w:lang w:val="en-US" w:eastAsia="zh-CN"/>
              </w:rPr>
              <w:t>药剂名称</w:t>
            </w:r>
          </w:p>
        </w:tc>
        <w:tc>
          <w:tcPr>
            <w:tcW w:w="1282" w:type="pct"/>
            <w:noWrap w:val="0"/>
            <w:vAlign w:val="center"/>
          </w:tcPr>
          <w:p w14:paraId="755A91A2">
            <w:pPr>
              <w:pStyle w:val="56"/>
              <w:ind w:left="0" w:leftChars="0" w:firstLine="0" w:firstLineChars="0"/>
              <w:jc w:val="center"/>
              <w:rPr>
                <w:rFonts w:hint="default"/>
                <w:lang w:val="en-US" w:eastAsia="zh-CN"/>
              </w:rPr>
            </w:pPr>
            <w:r>
              <w:rPr>
                <w:rFonts w:hint="default"/>
                <w:lang w:val="en-US" w:eastAsia="zh-CN"/>
              </w:rPr>
              <w:t>用药量</w:t>
            </w:r>
          </w:p>
          <w:p w14:paraId="570AAA6C">
            <w:pPr>
              <w:pStyle w:val="56"/>
              <w:ind w:left="0" w:leftChars="0" w:firstLine="0" w:firstLineChars="0"/>
              <w:jc w:val="center"/>
              <w:rPr>
                <w:rFonts w:hint="default"/>
                <w:lang w:val="en-US" w:eastAsia="zh-CN"/>
              </w:rPr>
            </w:pPr>
            <w:r>
              <w:rPr>
                <w:rFonts w:hint="default"/>
                <w:lang w:val="en-US" w:eastAsia="zh-CN"/>
              </w:rPr>
              <w:t>（每667m</w:t>
            </w:r>
            <w:r>
              <w:rPr>
                <w:rFonts w:hint="default"/>
                <w:vertAlign w:val="superscript"/>
                <w:lang w:val="en-US" w:eastAsia="zh-CN"/>
              </w:rPr>
              <w:t>2</w:t>
            </w:r>
            <w:r>
              <w:rPr>
                <w:rFonts w:hint="default"/>
                <w:lang w:val="en-US" w:eastAsia="zh-CN"/>
              </w:rPr>
              <w:t>或100kg种子）</w:t>
            </w:r>
          </w:p>
        </w:tc>
        <w:tc>
          <w:tcPr>
            <w:tcW w:w="656" w:type="pct"/>
            <w:noWrap w:val="0"/>
            <w:vAlign w:val="center"/>
          </w:tcPr>
          <w:p w14:paraId="5943A367">
            <w:pPr>
              <w:pStyle w:val="56"/>
              <w:ind w:left="0" w:leftChars="0" w:firstLine="0" w:firstLineChars="0"/>
              <w:jc w:val="center"/>
              <w:rPr>
                <w:rFonts w:hint="default"/>
                <w:lang w:val="en-US" w:eastAsia="zh-CN"/>
              </w:rPr>
            </w:pPr>
            <w:r>
              <w:rPr>
                <w:rFonts w:hint="default"/>
                <w:lang w:val="en-US" w:eastAsia="zh-CN"/>
              </w:rPr>
              <w:t>施药方式</w:t>
            </w:r>
          </w:p>
        </w:tc>
        <w:tc>
          <w:tcPr>
            <w:tcW w:w="772" w:type="pct"/>
            <w:noWrap w:val="0"/>
            <w:vAlign w:val="center"/>
          </w:tcPr>
          <w:p w14:paraId="0F8FFF21">
            <w:pPr>
              <w:pStyle w:val="56"/>
              <w:ind w:left="0" w:leftChars="0" w:firstLine="0" w:firstLineChars="0"/>
              <w:jc w:val="center"/>
              <w:rPr>
                <w:rFonts w:hint="default"/>
                <w:lang w:val="en-US" w:eastAsia="zh-CN"/>
              </w:rPr>
            </w:pPr>
            <w:r>
              <w:rPr>
                <w:rFonts w:hint="default"/>
                <w:lang w:val="en-US" w:eastAsia="zh-CN"/>
              </w:rPr>
              <w:t>防治时期</w:t>
            </w:r>
          </w:p>
        </w:tc>
      </w:tr>
      <w:tr w14:paraId="61C22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pct"/>
            <w:vMerge w:val="restart"/>
            <w:noWrap w:val="0"/>
            <w:vAlign w:val="center"/>
          </w:tcPr>
          <w:p w14:paraId="46A40D7D">
            <w:pPr>
              <w:pStyle w:val="56"/>
              <w:ind w:left="0" w:leftChars="0" w:firstLine="0" w:firstLineChars="0"/>
              <w:jc w:val="center"/>
              <w:rPr>
                <w:rFonts w:hint="default"/>
                <w:lang w:val="en-US" w:eastAsia="zh-CN"/>
              </w:rPr>
            </w:pPr>
            <w:r>
              <w:rPr>
                <w:rFonts w:hint="default"/>
                <w:lang w:val="en-US" w:eastAsia="zh-CN"/>
              </w:rPr>
              <w:t>炭疽病、大斑病</w:t>
            </w:r>
          </w:p>
        </w:tc>
        <w:tc>
          <w:tcPr>
            <w:tcW w:w="1446" w:type="pct"/>
            <w:noWrap w:val="0"/>
            <w:vAlign w:val="center"/>
          </w:tcPr>
          <w:p w14:paraId="3AFF8314">
            <w:pPr>
              <w:pStyle w:val="56"/>
              <w:ind w:left="0" w:leftChars="0" w:firstLine="0" w:firstLineChars="0"/>
              <w:jc w:val="center"/>
              <w:rPr>
                <w:rFonts w:hint="default"/>
                <w:lang w:val="en-US" w:eastAsia="zh-CN"/>
              </w:rPr>
            </w:pPr>
            <w:r>
              <w:rPr>
                <w:rFonts w:hint="default"/>
                <w:lang w:val="en-US" w:eastAsia="zh-CN"/>
              </w:rPr>
              <w:t>25%多菌灵可湿性粉剂</w:t>
            </w:r>
          </w:p>
        </w:tc>
        <w:tc>
          <w:tcPr>
            <w:tcW w:w="1282" w:type="pct"/>
            <w:noWrap w:val="0"/>
            <w:vAlign w:val="center"/>
          </w:tcPr>
          <w:p w14:paraId="50D4388F">
            <w:pPr>
              <w:pStyle w:val="56"/>
              <w:ind w:left="0" w:leftChars="0" w:firstLine="0" w:firstLineChars="0"/>
              <w:jc w:val="center"/>
              <w:rPr>
                <w:rFonts w:hint="default"/>
                <w:lang w:val="en-US" w:eastAsia="zh-CN"/>
              </w:rPr>
            </w:pPr>
            <w:r>
              <w:rPr>
                <w:rFonts w:hint="default"/>
                <w:lang w:val="en-US" w:eastAsia="zh-CN"/>
              </w:rPr>
              <w:t>200g</w:t>
            </w:r>
            <w:r>
              <w:rPr>
                <w:rFonts w:hint="eastAsia" w:hAnsi="宋体"/>
                <w:sz w:val="18"/>
                <w:szCs w:val="18"/>
              </w:rPr>
              <w:t>～</w:t>
            </w:r>
            <w:r>
              <w:rPr>
                <w:rFonts w:hint="default"/>
                <w:lang w:val="en-US" w:eastAsia="zh-CN"/>
              </w:rPr>
              <w:t>250g</w:t>
            </w:r>
          </w:p>
        </w:tc>
        <w:tc>
          <w:tcPr>
            <w:tcW w:w="656" w:type="pct"/>
            <w:vMerge w:val="restart"/>
            <w:noWrap w:val="0"/>
            <w:vAlign w:val="center"/>
          </w:tcPr>
          <w:p w14:paraId="421F6EFB">
            <w:pPr>
              <w:pStyle w:val="56"/>
              <w:ind w:left="0" w:leftChars="0" w:firstLine="0" w:firstLineChars="0"/>
              <w:jc w:val="center"/>
              <w:rPr>
                <w:rFonts w:hint="default"/>
                <w:lang w:val="en-US" w:eastAsia="zh-CN"/>
              </w:rPr>
            </w:pPr>
            <w:r>
              <w:rPr>
                <w:rFonts w:hint="default"/>
                <w:lang w:val="en-US" w:eastAsia="zh-CN"/>
              </w:rPr>
              <w:t>喷雾</w:t>
            </w:r>
          </w:p>
        </w:tc>
        <w:tc>
          <w:tcPr>
            <w:tcW w:w="772" w:type="pct"/>
            <w:vMerge w:val="restart"/>
            <w:noWrap w:val="0"/>
            <w:vAlign w:val="center"/>
          </w:tcPr>
          <w:p w14:paraId="6F90551D">
            <w:pPr>
              <w:pStyle w:val="56"/>
              <w:ind w:left="0" w:leftChars="0" w:firstLine="0" w:firstLineChars="0"/>
              <w:jc w:val="center"/>
              <w:rPr>
                <w:rFonts w:hint="default"/>
                <w:lang w:val="en-US" w:eastAsia="zh-CN"/>
              </w:rPr>
            </w:pPr>
            <w:r>
              <w:rPr>
                <w:rFonts w:hint="default"/>
                <w:lang w:val="en-US" w:eastAsia="zh-CN"/>
              </w:rPr>
              <w:t>发病初期、</w:t>
            </w:r>
          </w:p>
          <w:p w14:paraId="54AF789D">
            <w:pPr>
              <w:pStyle w:val="56"/>
              <w:ind w:left="0" w:leftChars="0" w:firstLine="0" w:firstLineChars="0"/>
              <w:jc w:val="center"/>
              <w:rPr>
                <w:rFonts w:hint="default"/>
                <w:lang w:val="en-US" w:eastAsia="zh-CN"/>
              </w:rPr>
            </w:pPr>
            <w:r>
              <w:rPr>
                <w:rFonts w:hint="default"/>
                <w:lang w:val="en-US" w:eastAsia="zh-CN"/>
              </w:rPr>
              <w:t>喇叭口期、</w:t>
            </w:r>
          </w:p>
          <w:p w14:paraId="3F355DDD">
            <w:pPr>
              <w:pStyle w:val="56"/>
              <w:ind w:left="0" w:leftChars="0" w:firstLine="0" w:firstLineChars="0"/>
              <w:jc w:val="center"/>
              <w:rPr>
                <w:rFonts w:hint="default"/>
                <w:lang w:val="en-US" w:eastAsia="zh-CN"/>
              </w:rPr>
            </w:pPr>
            <w:r>
              <w:rPr>
                <w:rFonts w:hint="default"/>
                <w:lang w:val="en-US" w:eastAsia="zh-CN"/>
              </w:rPr>
              <w:t>始穗期</w:t>
            </w:r>
          </w:p>
        </w:tc>
      </w:tr>
      <w:tr w14:paraId="5EBE8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pct"/>
            <w:vMerge w:val="continue"/>
            <w:noWrap w:val="0"/>
            <w:vAlign w:val="center"/>
          </w:tcPr>
          <w:p w14:paraId="12676AF4">
            <w:pPr>
              <w:pStyle w:val="56"/>
              <w:jc w:val="center"/>
              <w:rPr>
                <w:rFonts w:hint="default"/>
              </w:rPr>
            </w:pPr>
          </w:p>
        </w:tc>
        <w:tc>
          <w:tcPr>
            <w:tcW w:w="1446" w:type="pct"/>
            <w:noWrap w:val="0"/>
            <w:vAlign w:val="center"/>
          </w:tcPr>
          <w:p w14:paraId="6516ABFC">
            <w:pPr>
              <w:pStyle w:val="56"/>
              <w:ind w:left="0" w:leftChars="0" w:firstLine="0" w:firstLineChars="0"/>
              <w:jc w:val="center"/>
              <w:rPr>
                <w:rFonts w:hint="default"/>
                <w:lang w:val="en-US" w:eastAsia="zh-CN"/>
              </w:rPr>
            </w:pPr>
            <w:r>
              <w:rPr>
                <w:rFonts w:hint="default"/>
                <w:lang w:val="en-US" w:eastAsia="zh-CN"/>
              </w:rPr>
              <w:t>25%吡唑·嘧菌酯悬浮剂</w:t>
            </w:r>
          </w:p>
        </w:tc>
        <w:tc>
          <w:tcPr>
            <w:tcW w:w="1282" w:type="pct"/>
            <w:noWrap w:val="0"/>
            <w:vAlign w:val="center"/>
          </w:tcPr>
          <w:p w14:paraId="222B0FC6">
            <w:pPr>
              <w:pStyle w:val="56"/>
              <w:ind w:left="0" w:leftChars="0" w:firstLine="0" w:firstLineChars="0"/>
              <w:jc w:val="center"/>
              <w:rPr>
                <w:rFonts w:hint="default"/>
                <w:lang w:val="en-US" w:eastAsia="zh-CN"/>
              </w:rPr>
            </w:pPr>
            <w:r>
              <w:rPr>
                <w:rFonts w:hint="default"/>
                <w:lang w:val="en-US" w:eastAsia="zh-CN"/>
              </w:rPr>
              <w:t>40ml</w:t>
            </w:r>
            <w:r>
              <w:rPr>
                <w:rFonts w:hint="eastAsia" w:hAnsi="宋体"/>
                <w:sz w:val="18"/>
                <w:szCs w:val="18"/>
              </w:rPr>
              <w:t>～</w:t>
            </w:r>
            <w:r>
              <w:rPr>
                <w:rFonts w:hint="default"/>
                <w:lang w:val="en-US" w:eastAsia="zh-CN"/>
              </w:rPr>
              <w:t>50ml</w:t>
            </w:r>
          </w:p>
        </w:tc>
        <w:tc>
          <w:tcPr>
            <w:tcW w:w="656" w:type="pct"/>
            <w:vMerge w:val="continue"/>
            <w:noWrap w:val="0"/>
            <w:vAlign w:val="center"/>
          </w:tcPr>
          <w:p w14:paraId="19BFA5CC">
            <w:pPr>
              <w:pStyle w:val="56"/>
              <w:jc w:val="center"/>
              <w:rPr>
                <w:rFonts w:hint="default"/>
                <w:lang w:val="en-US" w:eastAsia="zh-CN"/>
              </w:rPr>
            </w:pPr>
          </w:p>
        </w:tc>
        <w:tc>
          <w:tcPr>
            <w:tcW w:w="772" w:type="pct"/>
            <w:vMerge w:val="continue"/>
            <w:noWrap w:val="0"/>
            <w:vAlign w:val="center"/>
          </w:tcPr>
          <w:p w14:paraId="61A8D523">
            <w:pPr>
              <w:pStyle w:val="56"/>
              <w:jc w:val="center"/>
              <w:rPr>
                <w:rFonts w:hint="default"/>
              </w:rPr>
            </w:pPr>
          </w:p>
        </w:tc>
      </w:tr>
      <w:tr w14:paraId="3AD84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pct"/>
            <w:vMerge w:val="continue"/>
            <w:noWrap w:val="0"/>
            <w:vAlign w:val="center"/>
          </w:tcPr>
          <w:p w14:paraId="447A452E">
            <w:pPr>
              <w:pStyle w:val="56"/>
              <w:jc w:val="center"/>
              <w:rPr>
                <w:rFonts w:hint="default"/>
              </w:rPr>
            </w:pPr>
          </w:p>
        </w:tc>
        <w:tc>
          <w:tcPr>
            <w:tcW w:w="1446" w:type="pct"/>
            <w:noWrap w:val="0"/>
            <w:vAlign w:val="center"/>
          </w:tcPr>
          <w:p w14:paraId="3332D1B4">
            <w:pPr>
              <w:pStyle w:val="56"/>
              <w:ind w:left="0" w:leftChars="0" w:firstLine="0" w:firstLineChars="0"/>
              <w:jc w:val="center"/>
              <w:rPr>
                <w:rFonts w:hint="default"/>
                <w:lang w:val="en-US" w:eastAsia="zh-CN"/>
              </w:rPr>
            </w:pPr>
            <w:r>
              <w:rPr>
                <w:rFonts w:hint="default"/>
                <w:lang w:val="en-US" w:eastAsia="zh-CN"/>
              </w:rPr>
              <w:t>18.7%丙环·嘧菌酯</w:t>
            </w:r>
          </w:p>
        </w:tc>
        <w:tc>
          <w:tcPr>
            <w:tcW w:w="1282" w:type="pct"/>
            <w:noWrap w:val="0"/>
            <w:vAlign w:val="center"/>
          </w:tcPr>
          <w:p w14:paraId="2847D06C">
            <w:pPr>
              <w:pStyle w:val="56"/>
              <w:ind w:left="0" w:leftChars="0" w:firstLine="0" w:firstLineChars="0"/>
              <w:jc w:val="center"/>
              <w:rPr>
                <w:rFonts w:hint="default"/>
                <w:lang w:val="en-US" w:eastAsia="zh-CN"/>
              </w:rPr>
            </w:pPr>
            <w:r>
              <w:rPr>
                <w:rFonts w:hint="default"/>
                <w:lang w:val="en-US" w:eastAsia="zh-CN"/>
              </w:rPr>
              <w:t>50ml</w:t>
            </w:r>
            <w:r>
              <w:rPr>
                <w:rFonts w:hint="eastAsia" w:hAnsi="宋体"/>
                <w:sz w:val="18"/>
                <w:szCs w:val="18"/>
              </w:rPr>
              <w:t>～</w:t>
            </w:r>
            <w:r>
              <w:rPr>
                <w:rFonts w:hint="default"/>
                <w:lang w:val="en-US" w:eastAsia="zh-CN"/>
              </w:rPr>
              <w:t>70ml</w:t>
            </w:r>
          </w:p>
        </w:tc>
        <w:tc>
          <w:tcPr>
            <w:tcW w:w="656" w:type="pct"/>
            <w:vMerge w:val="continue"/>
            <w:noWrap w:val="0"/>
            <w:vAlign w:val="center"/>
          </w:tcPr>
          <w:p w14:paraId="03433553">
            <w:pPr>
              <w:pStyle w:val="56"/>
              <w:jc w:val="center"/>
              <w:rPr>
                <w:rFonts w:hint="default"/>
              </w:rPr>
            </w:pPr>
          </w:p>
        </w:tc>
        <w:tc>
          <w:tcPr>
            <w:tcW w:w="772" w:type="pct"/>
            <w:vMerge w:val="continue"/>
            <w:noWrap w:val="0"/>
            <w:vAlign w:val="center"/>
          </w:tcPr>
          <w:p w14:paraId="57BF8A6A">
            <w:pPr>
              <w:pStyle w:val="56"/>
              <w:jc w:val="center"/>
              <w:rPr>
                <w:rFonts w:hint="default"/>
              </w:rPr>
            </w:pPr>
          </w:p>
        </w:tc>
      </w:tr>
      <w:tr w14:paraId="0A85C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pct"/>
            <w:vMerge w:val="continue"/>
            <w:noWrap w:val="0"/>
            <w:vAlign w:val="center"/>
          </w:tcPr>
          <w:p w14:paraId="55A30047">
            <w:pPr>
              <w:pStyle w:val="56"/>
              <w:jc w:val="center"/>
              <w:rPr>
                <w:rFonts w:hint="default"/>
              </w:rPr>
            </w:pPr>
          </w:p>
        </w:tc>
        <w:tc>
          <w:tcPr>
            <w:tcW w:w="1446" w:type="pct"/>
            <w:noWrap w:val="0"/>
            <w:vAlign w:val="center"/>
          </w:tcPr>
          <w:p w14:paraId="584A41D2">
            <w:pPr>
              <w:pStyle w:val="56"/>
              <w:ind w:left="0" w:leftChars="0" w:firstLine="0" w:firstLineChars="0"/>
              <w:jc w:val="center"/>
              <w:rPr>
                <w:rFonts w:hint="default"/>
                <w:lang w:val="en-US" w:eastAsia="zh-CN"/>
              </w:rPr>
            </w:pPr>
            <w:r>
              <w:rPr>
                <w:rFonts w:hint="default"/>
                <w:lang w:val="en-US" w:eastAsia="zh-CN"/>
              </w:rPr>
              <w:t>40%苯醚甲环唑</w:t>
            </w:r>
          </w:p>
        </w:tc>
        <w:tc>
          <w:tcPr>
            <w:tcW w:w="1282" w:type="pct"/>
            <w:noWrap w:val="0"/>
            <w:vAlign w:val="center"/>
          </w:tcPr>
          <w:p w14:paraId="6C08660A">
            <w:pPr>
              <w:pStyle w:val="56"/>
              <w:ind w:left="0" w:leftChars="0" w:firstLine="0" w:firstLineChars="0"/>
              <w:jc w:val="center"/>
              <w:rPr>
                <w:rFonts w:hint="default"/>
                <w:lang w:val="en-US" w:eastAsia="zh-CN"/>
              </w:rPr>
            </w:pPr>
            <w:r>
              <w:rPr>
                <w:rFonts w:hint="default"/>
                <w:lang w:val="en-US" w:eastAsia="zh-CN"/>
              </w:rPr>
              <w:t>12.5ml</w:t>
            </w:r>
            <w:r>
              <w:rPr>
                <w:rFonts w:hint="eastAsia" w:hAnsi="宋体"/>
                <w:sz w:val="18"/>
                <w:szCs w:val="18"/>
              </w:rPr>
              <w:t>～</w:t>
            </w:r>
            <w:r>
              <w:rPr>
                <w:rFonts w:hint="default"/>
                <w:lang w:val="en-US" w:eastAsia="zh-CN"/>
              </w:rPr>
              <w:t>15ml</w:t>
            </w:r>
          </w:p>
        </w:tc>
        <w:tc>
          <w:tcPr>
            <w:tcW w:w="656" w:type="pct"/>
            <w:vMerge w:val="continue"/>
            <w:noWrap w:val="0"/>
            <w:vAlign w:val="center"/>
          </w:tcPr>
          <w:p w14:paraId="06EBFE77">
            <w:pPr>
              <w:pStyle w:val="56"/>
              <w:jc w:val="center"/>
              <w:rPr>
                <w:rFonts w:hint="default"/>
                <w:lang w:val="en-US" w:eastAsia="zh-CN"/>
              </w:rPr>
            </w:pPr>
          </w:p>
        </w:tc>
        <w:tc>
          <w:tcPr>
            <w:tcW w:w="772" w:type="pct"/>
            <w:vMerge w:val="continue"/>
            <w:noWrap w:val="0"/>
            <w:vAlign w:val="center"/>
          </w:tcPr>
          <w:p w14:paraId="4124E132">
            <w:pPr>
              <w:pStyle w:val="56"/>
              <w:jc w:val="center"/>
              <w:rPr>
                <w:rFonts w:hint="default"/>
              </w:rPr>
            </w:pPr>
          </w:p>
        </w:tc>
      </w:tr>
      <w:tr w14:paraId="545DE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841" w:type="pct"/>
            <w:noWrap w:val="0"/>
            <w:vAlign w:val="center"/>
          </w:tcPr>
          <w:p w14:paraId="3CC7A3C1">
            <w:pPr>
              <w:pStyle w:val="56"/>
              <w:ind w:left="0" w:leftChars="0" w:firstLine="0" w:firstLineChars="0"/>
              <w:jc w:val="center"/>
              <w:rPr>
                <w:rFonts w:hint="default"/>
                <w:lang w:val="en-US" w:eastAsia="zh-CN"/>
              </w:rPr>
            </w:pPr>
            <w:r>
              <w:rPr>
                <w:rFonts w:hint="default"/>
                <w:lang w:val="en-US" w:eastAsia="zh-CN"/>
              </w:rPr>
              <w:t>纹枯病</w:t>
            </w:r>
          </w:p>
        </w:tc>
        <w:tc>
          <w:tcPr>
            <w:tcW w:w="1446" w:type="pct"/>
            <w:noWrap w:val="0"/>
            <w:vAlign w:val="center"/>
          </w:tcPr>
          <w:p w14:paraId="100E2B6E">
            <w:pPr>
              <w:pStyle w:val="56"/>
              <w:ind w:left="0" w:leftChars="0" w:firstLine="0" w:firstLineChars="0"/>
              <w:jc w:val="center"/>
              <w:rPr>
                <w:rFonts w:hint="default"/>
              </w:rPr>
            </w:pPr>
            <w:r>
              <w:rPr>
                <w:rFonts w:hint="default"/>
                <w:lang w:val="en-US" w:eastAsia="zh-CN"/>
              </w:rPr>
              <w:t>井冈霉素</w:t>
            </w:r>
          </w:p>
        </w:tc>
        <w:tc>
          <w:tcPr>
            <w:tcW w:w="1282" w:type="pct"/>
            <w:noWrap w:val="0"/>
            <w:vAlign w:val="center"/>
          </w:tcPr>
          <w:p w14:paraId="26F3C522">
            <w:pPr>
              <w:pStyle w:val="56"/>
              <w:ind w:left="0" w:leftChars="0" w:firstLine="0" w:firstLineChars="0"/>
              <w:jc w:val="center"/>
              <w:rPr>
                <w:rFonts w:hint="default"/>
              </w:rPr>
            </w:pPr>
            <w:r>
              <w:rPr>
                <w:rFonts w:hint="default"/>
                <w:lang w:val="en-US" w:eastAsia="zh-CN"/>
              </w:rPr>
              <w:t>30ml</w:t>
            </w:r>
            <w:r>
              <w:rPr>
                <w:rFonts w:hint="eastAsia" w:hAnsi="宋体"/>
                <w:sz w:val="18"/>
                <w:szCs w:val="18"/>
              </w:rPr>
              <w:t>～</w:t>
            </w:r>
            <w:r>
              <w:rPr>
                <w:rFonts w:hint="default"/>
                <w:lang w:val="en-US" w:eastAsia="zh-CN"/>
              </w:rPr>
              <w:t>40ml</w:t>
            </w:r>
          </w:p>
        </w:tc>
        <w:tc>
          <w:tcPr>
            <w:tcW w:w="656" w:type="pct"/>
            <w:noWrap w:val="0"/>
            <w:vAlign w:val="center"/>
          </w:tcPr>
          <w:p w14:paraId="159491E4">
            <w:pPr>
              <w:pStyle w:val="56"/>
              <w:ind w:left="0" w:leftChars="0" w:firstLine="0" w:firstLineChars="0"/>
              <w:jc w:val="center"/>
              <w:rPr>
                <w:rFonts w:hint="default"/>
                <w:lang w:val="en-US" w:eastAsia="zh-CN"/>
              </w:rPr>
            </w:pPr>
            <w:r>
              <w:rPr>
                <w:rFonts w:hint="default"/>
                <w:lang w:val="en-US" w:eastAsia="zh-CN"/>
              </w:rPr>
              <w:t>喷雾</w:t>
            </w:r>
          </w:p>
        </w:tc>
        <w:tc>
          <w:tcPr>
            <w:tcW w:w="772" w:type="pct"/>
            <w:noWrap w:val="0"/>
            <w:vAlign w:val="center"/>
          </w:tcPr>
          <w:p w14:paraId="7759095C">
            <w:pPr>
              <w:pStyle w:val="56"/>
              <w:ind w:left="0" w:leftChars="0" w:firstLine="0" w:firstLineChars="0"/>
              <w:jc w:val="center"/>
              <w:rPr>
                <w:rFonts w:hint="default"/>
              </w:rPr>
            </w:pPr>
            <w:r>
              <w:rPr>
                <w:rFonts w:hint="default"/>
                <w:lang w:val="en-US" w:eastAsia="zh-CN"/>
              </w:rPr>
              <w:t>夏季高温多雨</w:t>
            </w:r>
          </w:p>
        </w:tc>
      </w:tr>
      <w:tr w14:paraId="4CD86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41" w:type="pct"/>
            <w:vMerge w:val="restart"/>
            <w:noWrap w:val="0"/>
            <w:vAlign w:val="center"/>
          </w:tcPr>
          <w:p w14:paraId="1B88E2B6">
            <w:pPr>
              <w:pStyle w:val="56"/>
              <w:ind w:left="0" w:leftChars="0" w:firstLine="0" w:firstLineChars="0"/>
              <w:jc w:val="center"/>
              <w:rPr>
                <w:rFonts w:hint="default"/>
                <w:lang w:val="en-US" w:eastAsia="zh-CN"/>
              </w:rPr>
            </w:pPr>
            <w:r>
              <w:rPr>
                <w:rFonts w:hint="default"/>
                <w:lang w:val="en-US" w:eastAsia="zh-CN"/>
              </w:rPr>
              <w:t>茎腐病、顶腐病、纹枯病</w:t>
            </w:r>
          </w:p>
        </w:tc>
        <w:tc>
          <w:tcPr>
            <w:tcW w:w="1446" w:type="pct"/>
            <w:noWrap w:val="0"/>
            <w:vAlign w:val="center"/>
          </w:tcPr>
          <w:p w14:paraId="6991F90A">
            <w:pPr>
              <w:pStyle w:val="56"/>
              <w:ind w:left="0" w:leftChars="0" w:firstLine="0" w:firstLineChars="0"/>
              <w:jc w:val="center"/>
              <w:rPr>
                <w:rFonts w:hint="default"/>
                <w:lang w:val="en-US" w:eastAsia="zh-CN"/>
              </w:rPr>
            </w:pPr>
            <w:r>
              <w:rPr>
                <w:rFonts w:hint="default"/>
                <w:lang w:val="en-US" w:eastAsia="zh-CN"/>
              </w:rPr>
              <w:t>2.5%烯唑醇可湿性粉剂</w:t>
            </w:r>
          </w:p>
        </w:tc>
        <w:tc>
          <w:tcPr>
            <w:tcW w:w="1282" w:type="pct"/>
            <w:noWrap w:val="0"/>
            <w:vAlign w:val="center"/>
          </w:tcPr>
          <w:p w14:paraId="76C2B1AD">
            <w:pPr>
              <w:pStyle w:val="56"/>
              <w:ind w:left="0" w:leftChars="0" w:firstLine="0" w:firstLineChars="0"/>
              <w:jc w:val="center"/>
              <w:rPr>
                <w:rFonts w:hint="default"/>
                <w:lang w:val="en-US" w:eastAsia="zh-CN"/>
              </w:rPr>
            </w:pPr>
            <w:r>
              <w:rPr>
                <w:rFonts w:hint="default"/>
                <w:lang w:val="en-US" w:eastAsia="zh-CN"/>
              </w:rPr>
              <w:t>1：500药种比</w:t>
            </w:r>
          </w:p>
        </w:tc>
        <w:tc>
          <w:tcPr>
            <w:tcW w:w="656" w:type="pct"/>
            <w:vMerge w:val="restart"/>
            <w:noWrap w:val="0"/>
            <w:vAlign w:val="center"/>
          </w:tcPr>
          <w:p w14:paraId="33EA83F2">
            <w:pPr>
              <w:pStyle w:val="56"/>
              <w:ind w:left="0" w:leftChars="0" w:firstLine="0" w:firstLineChars="0"/>
              <w:jc w:val="center"/>
              <w:rPr>
                <w:rFonts w:hint="default"/>
                <w:lang w:val="en-US" w:eastAsia="zh-CN"/>
              </w:rPr>
            </w:pPr>
            <w:r>
              <w:rPr>
                <w:rFonts w:hint="default"/>
                <w:lang w:val="en-US" w:eastAsia="zh-CN"/>
              </w:rPr>
              <w:t>拌种</w:t>
            </w:r>
          </w:p>
        </w:tc>
        <w:tc>
          <w:tcPr>
            <w:tcW w:w="772" w:type="pct"/>
            <w:vMerge w:val="restart"/>
            <w:noWrap w:val="0"/>
            <w:vAlign w:val="center"/>
          </w:tcPr>
          <w:p w14:paraId="7A7B1AE6">
            <w:pPr>
              <w:pStyle w:val="56"/>
              <w:ind w:left="0" w:leftChars="0" w:firstLine="0" w:firstLineChars="0"/>
              <w:jc w:val="center"/>
              <w:rPr>
                <w:rFonts w:hint="default"/>
                <w:lang w:val="en-US" w:eastAsia="zh-CN"/>
              </w:rPr>
            </w:pPr>
            <w:r>
              <w:rPr>
                <w:rFonts w:hint="default"/>
                <w:lang w:val="en-US" w:eastAsia="zh-CN"/>
              </w:rPr>
              <w:t>播种前</w:t>
            </w:r>
          </w:p>
        </w:tc>
      </w:tr>
      <w:tr w14:paraId="62867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41" w:type="pct"/>
            <w:vMerge w:val="continue"/>
            <w:noWrap w:val="0"/>
            <w:vAlign w:val="center"/>
          </w:tcPr>
          <w:p w14:paraId="77DD58AE">
            <w:pPr>
              <w:pStyle w:val="56"/>
              <w:jc w:val="center"/>
              <w:rPr>
                <w:rFonts w:hint="default"/>
                <w:lang w:val="en-US" w:eastAsia="zh-CN"/>
              </w:rPr>
            </w:pPr>
          </w:p>
        </w:tc>
        <w:tc>
          <w:tcPr>
            <w:tcW w:w="1446" w:type="pct"/>
            <w:noWrap w:val="0"/>
            <w:vAlign w:val="center"/>
          </w:tcPr>
          <w:p w14:paraId="69021DAD">
            <w:pPr>
              <w:pStyle w:val="56"/>
              <w:ind w:left="0" w:leftChars="0" w:firstLine="0" w:firstLineChars="0"/>
              <w:jc w:val="center"/>
              <w:rPr>
                <w:rFonts w:hint="default"/>
                <w:lang w:val="en-US" w:eastAsia="zh-CN"/>
              </w:rPr>
            </w:pPr>
            <w:r>
              <w:rPr>
                <w:rFonts w:hint="default"/>
                <w:lang w:val="en-US" w:eastAsia="zh-CN"/>
              </w:rPr>
              <w:t>25%三唑酮可湿性粉剂</w:t>
            </w:r>
          </w:p>
        </w:tc>
        <w:tc>
          <w:tcPr>
            <w:tcW w:w="1282" w:type="pct"/>
            <w:noWrap w:val="0"/>
            <w:vAlign w:val="center"/>
          </w:tcPr>
          <w:p w14:paraId="26B76B2F">
            <w:pPr>
              <w:pStyle w:val="56"/>
              <w:ind w:left="0" w:leftChars="0" w:firstLine="0" w:firstLineChars="0"/>
              <w:jc w:val="center"/>
              <w:rPr>
                <w:rFonts w:hint="default"/>
                <w:lang w:val="en-US" w:eastAsia="zh-CN"/>
              </w:rPr>
            </w:pPr>
            <w:r>
              <w:rPr>
                <w:rFonts w:hint="default"/>
                <w:lang w:val="en-US" w:eastAsia="zh-CN"/>
              </w:rPr>
              <w:t>1：333药种比</w:t>
            </w:r>
          </w:p>
        </w:tc>
        <w:tc>
          <w:tcPr>
            <w:tcW w:w="656" w:type="pct"/>
            <w:vMerge w:val="continue"/>
            <w:noWrap w:val="0"/>
            <w:vAlign w:val="center"/>
          </w:tcPr>
          <w:p w14:paraId="4EBA50A0">
            <w:pPr>
              <w:pStyle w:val="56"/>
              <w:jc w:val="center"/>
              <w:rPr>
                <w:rFonts w:hint="default"/>
                <w:lang w:val="en-US" w:eastAsia="zh-CN"/>
              </w:rPr>
            </w:pPr>
          </w:p>
        </w:tc>
        <w:tc>
          <w:tcPr>
            <w:tcW w:w="772" w:type="pct"/>
            <w:vMerge w:val="continue"/>
            <w:noWrap w:val="0"/>
            <w:vAlign w:val="center"/>
          </w:tcPr>
          <w:p w14:paraId="18CAC571">
            <w:pPr>
              <w:pStyle w:val="56"/>
              <w:jc w:val="center"/>
              <w:rPr>
                <w:rFonts w:hint="default"/>
                <w:lang w:val="en-US" w:eastAsia="zh-CN"/>
              </w:rPr>
            </w:pPr>
          </w:p>
        </w:tc>
      </w:tr>
      <w:tr w14:paraId="0C9C3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41" w:type="pct"/>
            <w:vMerge w:val="restart"/>
            <w:noWrap w:val="0"/>
            <w:vAlign w:val="center"/>
          </w:tcPr>
          <w:p w14:paraId="3CD3CA6B">
            <w:pPr>
              <w:pStyle w:val="56"/>
              <w:ind w:left="0" w:leftChars="0" w:firstLine="0" w:firstLineChars="0"/>
              <w:jc w:val="center"/>
              <w:rPr>
                <w:rFonts w:hint="default"/>
                <w:lang w:val="en-US" w:eastAsia="zh-CN"/>
              </w:rPr>
            </w:pPr>
            <w:r>
              <w:rPr>
                <w:rFonts w:hint="default"/>
                <w:lang w:val="en-US" w:eastAsia="zh-CN"/>
              </w:rPr>
              <w:t>蛴螬、蝼蛄、金针虫、地老虎等地下害虫</w:t>
            </w:r>
          </w:p>
        </w:tc>
        <w:tc>
          <w:tcPr>
            <w:tcW w:w="1446" w:type="pct"/>
            <w:noWrap w:val="0"/>
            <w:vAlign w:val="center"/>
          </w:tcPr>
          <w:p w14:paraId="1B7E65B4">
            <w:pPr>
              <w:pStyle w:val="56"/>
              <w:ind w:left="0" w:leftChars="0" w:firstLine="0" w:firstLineChars="0"/>
              <w:jc w:val="center"/>
              <w:rPr>
                <w:rFonts w:hint="default"/>
                <w:lang w:val="en-US" w:eastAsia="zh-CN"/>
              </w:rPr>
            </w:pPr>
            <w:r>
              <w:rPr>
                <w:rFonts w:hint="default"/>
                <w:lang w:val="en-US" w:eastAsia="zh-CN"/>
              </w:rPr>
              <w:t>600g/L吡虫啉悬浮种衣剂</w:t>
            </w:r>
          </w:p>
        </w:tc>
        <w:tc>
          <w:tcPr>
            <w:tcW w:w="1282" w:type="pct"/>
            <w:noWrap w:val="0"/>
            <w:vAlign w:val="center"/>
          </w:tcPr>
          <w:p w14:paraId="6717B847">
            <w:pPr>
              <w:pStyle w:val="56"/>
              <w:ind w:left="0" w:leftChars="0" w:firstLine="0" w:firstLineChars="0"/>
              <w:jc w:val="center"/>
              <w:rPr>
                <w:rFonts w:hint="default"/>
                <w:lang w:val="en-US" w:eastAsia="zh-CN"/>
              </w:rPr>
            </w:pPr>
            <w:r>
              <w:rPr>
                <w:rFonts w:hint="default"/>
                <w:lang w:val="en-US" w:eastAsia="zh-CN"/>
              </w:rPr>
              <w:t>200ml</w:t>
            </w:r>
            <w:r>
              <w:rPr>
                <w:rFonts w:hint="eastAsia" w:hAnsi="宋体"/>
                <w:sz w:val="18"/>
                <w:szCs w:val="18"/>
              </w:rPr>
              <w:t>～</w:t>
            </w:r>
            <w:r>
              <w:rPr>
                <w:rFonts w:hint="default"/>
                <w:lang w:val="en-US" w:eastAsia="zh-CN"/>
              </w:rPr>
              <w:t>600ml</w:t>
            </w:r>
          </w:p>
        </w:tc>
        <w:tc>
          <w:tcPr>
            <w:tcW w:w="656" w:type="pct"/>
            <w:vMerge w:val="restart"/>
            <w:noWrap w:val="0"/>
            <w:vAlign w:val="center"/>
          </w:tcPr>
          <w:p w14:paraId="20DA043D">
            <w:pPr>
              <w:pStyle w:val="56"/>
              <w:ind w:left="0" w:leftChars="0" w:firstLine="0" w:firstLineChars="0"/>
              <w:jc w:val="center"/>
              <w:rPr>
                <w:rFonts w:hint="default"/>
                <w:lang w:val="en-US" w:eastAsia="zh-CN"/>
              </w:rPr>
            </w:pPr>
            <w:r>
              <w:rPr>
                <w:rFonts w:hint="default"/>
                <w:lang w:val="en-US" w:eastAsia="zh-CN"/>
              </w:rPr>
              <w:t>拌种</w:t>
            </w:r>
          </w:p>
        </w:tc>
        <w:tc>
          <w:tcPr>
            <w:tcW w:w="772" w:type="pct"/>
            <w:vMerge w:val="restart"/>
            <w:noWrap w:val="0"/>
            <w:vAlign w:val="center"/>
          </w:tcPr>
          <w:p w14:paraId="3F198E09">
            <w:pPr>
              <w:pStyle w:val="56"/>
              <w:ind w:left="0" w:leftChars="0" w:firstLine="0" w:firstLineChars="0"/>
              <w:jc w:val="center"/>
              <w:rPr>
                <w:rFonts w:hint="default"/>
                <w:lang w:val="en-US" w:eastAsia="zh-CN"/>
              </w:rPr>
            </w:pPr>
            <w:r>
              <w:rPr>
                <w:rFonts w:hint="default"/>
                <w:lang w:val="en-US" w:eastAsia="zh-CN"/>
              </w:rPr>
              <w:t>播种前</w:t>
            </w:r>
          </w:p>
        </w:tc>
      </w:tr>
      <w:tr w14:paraId="55B1C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pct"/>
            <w:vMerge w:val="continue"/>
            <w:noWrap w:val="0"/>
            <w:vAlign w:val="center"/>
          </w:tcPr>
          <w:p w14:paraId="2F8B51F3">
            <w:pPr>
              <w:pStyle w:val="56"/>
              <w:jc w:val="center"/>
              <w:rPr>
                <w:rFonts w:hint="default"/>
                <w:lang w:val="en-US" w:eastAsia="zh-CN"/>
              </w:rPr>
            </w:pPr>
          </w:p>
        </w:tc>
        <w:tc>
          <w:tcPr>
            <w:tcW w:w="1446" w:type="pct"/>
            <w:noWrap w:val="0"/>
            <w:vAlign w:val="center"/>
          </w:tcPr>
          <w:p w14:paraId="2000A6BB">
            <w:pPr>
              <w:pStyle w:val="56"/>
              <w:ind w:left="0" w:leftChars="0" w:firstLine="0" w:firstLineChars="0"/>
              <w:jc w:val="center"/>
              <w:rPr>
                <w:rFonts w:hint="default"/>
                <w:lang w:val="en-US" w:eastAsia="zh-CN"/>
              </w:rPr>
            </w:pPr>
            <w:r>
              <w:rPr>
                <w:rFonts w:hint="default"/>
                <w:lang w:val="en-US" w:eastAsia="zh-CN"/>
              </w:rPr>
              <w:t>40%溴酰·噻虫嗪种子处理悬浮剂</w:t>
            </w:r>
          </w:p>
        </w:tc>
        <w:tc>
          <w:tcPr>
            <w:tcW w:w="1282" w:type="pct"/>
            <w:noWrap w:val="0"/>
            <w:vAlign w:val="center"/>
          </w:tcPr>
          <w:p w14:paraId="4BC1A39C">
            <w:pPr>
              <w:pStyle w:val="56"/>
              <w:ind w:left="0" w:leftChars="0" w:firstLine="0" w:firstLineChars="0"/>
              <w:jc w:val="center"/>
              <w:rPr>
                <w:rFonts w:hint="default"/>
                <w:lang w:val="en-US" w:eastAsia="zh-CN"/>
              </w:rPr>
            </w:pPr>
            <w:r>
              <w:rPr>
                <w:rFonts w:hint="default"/>
                <w:lang w:val="en-US" w:eastAsia="zh-CN"/>
              </w:rPr>
              <w:t>300ml</w:t>
            </w:r>
            <w:r>
              <w:rPr>
                <w:rFonts w:hint="eastAsia" w:hAnsi="宋体"/>
                <w:sz w:val="18"/>
                <w:szCs w:val="18"/>
              </w:rPr>
              <w:t>～</w:t>
            </w:r>
            <w:r>
              <w:rPr>
                <w:rFonts w:hint="default"/>
                <w:lang w:val="en-US" w:eastAsia="zh-CN"/>
              </w:rPr>
              <w:t>450ml</w:t>
            </w:r>
          </w:p>
        </w:tc>
        <w:tc>
          <w:tcPr>
            <w:tcW w:w="656" w:type="pct"/>
            <w:vMerge w:val="continue"/>
            <w:noWrap w:val="0"/>
            <w:vAlign w:val="center"/>
          </w:tcPr>
          <w:p w14:paraId="5A50E028">
            <w:pPr>
              <w:pStyle w:val="56"/>
              <w:jc w:val="center"/>
              <w:rPr>
                <w:rFonts w:hint="default"/>
                <w:lang w:val="en-US" w:eastAsia="zh-CN"/>
              </w:rPr>
            </w:pPr>
          </w:p>
        </w:tc>
        <w:tc>
          <w:tcPr>
            <w:tcW w:w="772" w:type="pct"/>
            <w:vMerge w:val="continue"/>
            <w:noWrap w:val="0"/>
            <w:vAlign w:val="center"/>
          </w:tcPr>
          <w:p w14:paraId="2572D2CF">
            <w:pPr>
              <w:pStyle w:val="56"/>
              <w:jc w:val="center"/>
              <w:rPr>
                <w:rFonts w:hint="default"/>
                <w:lang w:val="en-US" w:eastAsia="zh-CN"/>
              </w:rPr>
            </w:pPr>
          </w:p>
        </w:tc>
      </w:tr>
      <w:tr w14:paraId="6DA42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841" w:type="pct"/>
            <w:vMerge w:val="continue"/>
            <w:noWrap w:val="0"/>
            <w:vAlign w:val="center"/>
          </w:tcPr>
          <w:p w14:paraId="246C4A16">
            <w:pPr>
              <w:pStyle w:val="56"/>
              <w:jc w:val="center"/>
              <w:rPr>
                <w:rFonts w:hint="default"/>
                <w:lang w:val="en-US" w:eastAsia="zh-CN"/>
              </w:rPr>
            </w:pPr>
          </w:p>
        </w:tc>
        <w:tc>
          <w:tcPr>
            <w:tcW w:w="1446" w:type="pct"/>
            <w:noWrap w:val="0"/>
            <w:vAlign w:val="center"/>
          </w:tcPr>
          <w:p w14:paraId="6CA68E7B">
            <w:pPr>
              <w:pStyle w:val="56"/>
              <w:ind w:left="0" w:leftChars="0" w:firstLine="0" w:firstLineChars="0"/>
              <w:jc w:val="center"/>
              <w:rPr>
                <w:rFonts w:hint="default"/>
                <w:lang w:val="en-US" w:eastAsia="zh-CN"/>
              </w:rPr>
            </w:pPr>
            <w:r>
              <w:rPr>
                <w:rFonts w:hint="default"/>
                <w:lang w:val="en-US" w:eastAsia="zh-CN"/>
              </w:rPr>
              <w:t>1%氯虫·噻虫胺颗粒剂</w:t>
            </w:r>
          </w:p>
        </w:tc>
        <w:tc>
          <w:tcPr>
            <w:tcW w:w="1282" w:type="pct"/>
            <w:noWrap w:val="0"/>
            <w:vAlign w:val="center"/>
          </w:tcPr>
          <w:p w14:paraId="32195D82">
            <w:pPr>
              <w:pStyle w:val="56"/>
              <w:ind w:left="0" w:leftChars="0" w:firstLine="0" w:firstLineChars="0"/>
              <w:jc w:val="center"/>
              <w:rPr>
                <w:rFonts w:hint="default"/>
                <w:lang w:val="en-US" w:eastAsia="zh-CN"/>
              </w:rPr>
            </w:pPr>
            <w:r>
              <w:rPr>
                <w:rFonts w:hint="default"/>
                <w:lang w:val="en-US" w:eastAsia="zh-CN"/>
              </w:rPr>
              <w:t>2kg</w:t>
            </w:r>
            <w:r>
              <w:rPr>
                <w:rFonts w:hint="eastAsia" w:hAnsi="宋体"/>
                <w:sz w:val="18"/>
                <w:szCs w:val="18"/>
              </w:rPr>
              <w:t>～</w:t>
            </w:r>
            <w:r>
              <w:rPr>
                <w:rFonts w:hint="default"/>
                <w:lang w:val="en-US" w:eastAsia="zh-CN"/>
              </w:rPr>
              <w:t>3kg</w:t>
            </w:r>
          </w:p>
        </w:tc>
        <w:tc>
          <w:tcPr>
            <w:tcW w:w="656" w:type="pct"/>
            <w:noWrap w:val="0"/>
            <w:vAlign w:val="center"/>
          </w:tcPr>
          <w:p w14:paraId="493DE0D6">
            <w:pPr>
              <w:pStyle w:val="56"/>
              <w:ind w:left="0" w:leftChars="0" w:firstLine="0" w:firstLineChars="0"/>
              <w:jc w:val="center"/>
              <w:rPr>
                <w:rFonts w:hint="default"/>
                <w:lang w:val="en-US" w:eastAsia="zh-CN"/>
              </w:rPr>
            </w:pPr>
            <w:r>
              <w:rPr>
                <w:rFonts w:hint="default"/>
                <w:lang w:val="en-US" w:eastAsia="zh-CN"/>
              </w:rPr>
              <w:t>沟施</w:t>
            </w:r>
          </w:p>
        </w:tc>
        <w:tc>
          <w:tcPr>
            <w:tcW w:w="772" w:type="pct"/>
            <w:noWrap w:val="0"/>
            <w:vAlign w:val="center"/>
          </w:tcPr>
          <w:p w14:paraId="3ECA1A8C">
            <w:pPr>
              <w:pStyle w:val="56"/>
              <w:ind w:left="0" w:leftChars="0" w:firstLine="0" w:firstLineChars="0"/>
              <w:jc w:val="center"/>
              <w:rPr>
                <w:rFonts w:hint="default"/>
                <w:lang w:val="en-US" w:eastAsia="zh-CN"/>
              </w:rPr>
            </w:pPr>
            <w:r>
              <w:rPr>
                <w:rFonts w:hint="default"/>
                <w:lang w:val="en-US" w:eastAsia="zh-CN"/>
              </w:rPr>
              <w:t>播种时</w:t>
            </w:r>
          </w:p>
        </w:tc>
      </w:tr>
      <w:tr w14:paraId="7F6FB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841" w:type="pct"/>
            <w:vMerge w:val="continue"/>
            <w:noWrap w:val="0"/>
            <w:vAlign w:val="center"/>
          </w:tcPr>
          <w:p w14:paraId="35960CE3">
            <w:pPr>
              <w:pStyle w:val="56"/>
              <w:jc w:val="center"/>
              <w:rPr>
                <w:rFonts w:hint="default"/>
                <w:lang w:val="en-US" w:eastAsia="zh-CN"/>
              </w:rPr>
            </w:pPr>
          </w:p>
        </w:tc>
        <w:tc>
          <w:tcPr>
            <w:tcW w:w="1446" w:type="pct"/>
            <w:noWrap w:val="0"/>
            <w:vAlign w:val="center"/>
          </w:tcPr>
          <w:p w14:paraId="5AAB80C0">
            <w:pPr>
              <w:pStyle w:val="56"/>
              <w:ind w:left="0" w:leftChars="0" w:firstLine="0" w:firstLineChars="0"/>
              <w:jc w:val="center"/>
              <w:rPr>
                <w:rFonts w:hint="default"/>
                <w:lang w:val="en-US" w:eastAsia="zh-CN"/>
              </w:rPr>
            </w:pPr>
            <w:r>
              <w:rPr>
                <w:rFonts w:hint="default"/>
                <w:lang w:val="en-US" w:eastAsia="zh-CN"/>
              </w:rPr>
              <w:t>200g/L氯虫苯甲酰胺悬浮剂</w:t>
            </w:r>
          </w:p>
        </w:tc>
        <w:tc>
          <w:tcPr>
            <w:tcW w:w="1282" w:type="pct"/>
            <w:noWrap w:val="0"/>
            <w:vAlign w:val="center"/>
          </w:tcPr>
          <w:p w14:paraId="7278B49D">
            <w:pPr>
              <w:pStyle w:val="56"/>
              <w:ind w:left="0" w:leftChars="0" w:firstLine="0" w:firstLineChars="0"/>
              <w:jc w:val="center"/>
              <w:rPr>
                <w:rFonts w:hint="default"/>
                <w:lang w:val="en-US" w:eastAsia="zh-CN"/>
              </w:rPr>
            </w:pPr>
            <w:r>
              <w:rPr>
                <w:rFonts w:hint="default"/>
                <w:lang w:val="en-US" w:eastAsia="zh-CN"/>
              </w:rPr>
              <w:t>3.3ml</w:t>
            </w:r>
            <w:r>
              <w:rPr>
                <w:rFonts w:hint="eastAsia" w:hAnsi="宋体"/>
                <w:sz w:val="18"/>
                <w:szCs w:val="18"/>
              </w:rPr>
              <w:t>～</w:t>
            </w:r>
            <w:r>
              <w:rPr>
                <w:rFonts w:hint="default"/>
                <w:lang w:val="en-US" w:eastAsia="zh-CN"/>
              </w:rPr>
              <w:t>6.6ml</w:t>
            </w:r>
          </w:p>
        </w:tc>
        <w:tc>
          <w:tcPr>
            <w:tcW w:w="656" w:type="pct"/>
            <w:noWrap w:val="0"/>
            <w:vAlign w:val="center"/>
          </w:tcPr>
          <w:p w14:paraId="72EC8A9D">
            <w:pPr>
              <w:pStyle w:val="56"/>
              <w:ind w:left="0" w:leftChars="0" w:firstLine="0" w:firstLineChars="0"/>
              <w:jc w:val="center"/>
              <w:rPr>
                <w:rFonts w:hint="default"/>
                <w:lang w:val="en-US" w:eastAsia="zh-CN"/>
              </w:rPr>
            </w:pPr>
            <w:r>
              <w:rPr>
                <w:rFonts w:hint="default"/>
                <w:lang w:val="en-US" w:eastAsia="zh-CN"/>
              </w:rPr>
              <w:t>茎基部</w:t>
            </w:r>
          </w:p>
          <w:p w14:paraId="66FFD286">
            <w:pPr>
              <w:pStyle w:val="56"/>
              <w:ind w:left="0" w:leftChars="0" w:firstLine="0" w:firstLineChars="0"/>
              <w:jc w:val="center"/>
              <w:rPr>
                <w:rFonts w:hint="default"/>
                <w:lang w:val="en-US" w:eastAsia="zh-CN"/>
              </w:rPr>
            </w:pPr>
            <w:r>
              <w:rPr>
                <w:rFonts w:hint="default"/>
                <w:lang w:val="en-US" w:eastAsia="zh-CN"/>
              </w:rPr>
              <w:t>喷雾</w:t>
            </w:r>
          </w:p>
        </w:tc>
        <w:tc>
          <w:tcPr>
            <w:tcW w:w="772" w:type="pct"/>
            <w:noWrap w:val="0"/>
            <w:vAlign w:val="center"/>
          </w:tcPr>
          <w:p w14:paraId="7E7865BF">
            <w:pPr>
              <w:pStyle w:val="56"/>
              <w:ind w:left="0" w:leftChars="0" w:firstLine="0" w:firstLineChars="0"/>
              <w:jc w:val="center"/>
              <w:rPr>
                <w:rFonts w:hint="default"/>
                <w:lang w:val="en-US" w:eastAsia="zh-CN"/>
              </w:rPr>
            </w:pPr>
            <w:r>
              <w:rPr>
                <w:rFonts w:hint="default"/>
                <w:lang w:val="en-US" w:eastAsia="zh-CN"/>
              </w:rPr>
              <w:t>苗期</w:t>
            </w:r>
          </w:p>
        </w:tc>
      </w:tr>
      <w:tr w14:paraId="01A8A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841" w:type="pct"/>
            <w:vMerge w:val="restart"/>
            <w:noWrap w:val="0"/>
            <w:vAlign w:val="center"/>
          </w:tcPr>
          <w:p w14:paraId="36C57FDA">
            <w:pPr>
              <w:pStyle w:val="56"/>
              <w:ind w:left="0" w:leftChars="0" w:firstLine="0" w:firstLineChars="0"/>
              <w:jc w:val="center"/>
              <w:rPr>
                <w:rFonts w:hint="default"/>
                <w:lang w:val="en-US" w:eastAsia="zh-CN"/>
              </w:rPr>
            </w:pPr>
            <w:r>
              <w:rPr>
                <w:rFonts w:hint="default"/>
                <w:lang w:val="en-US" w:eastAsia="zh-CN"/>
              </w:rPr>
              <w:t>蚜虫</w:t>
            </w:r>
          </w:p>
        </w:tc>
        <w:tc>
          <w:tcPr>
            <w:tcW w:w="1446" w:type="pct"/>
            <w:noWrap w:val="0"/>
            <w:vAlign w:val="center"/>
          </w:tcPr>
          <w:p w14:paraId="79F5CFD6">
            <w:pPr>
              <w:pStyle w:val="56"/>
              <w:ind w:left="0" w:leftChars="0" w:firstLine="0" w:firstLineChars="0"/>
              <w:jc w:val="center"/>
              <w:rPr>
                <w:rFonts w:hint="default"/>
                <w:lang w:val="en-US" w:eastAsia="zh-CN"/>
              </w:rPr>
            </w:pPr>
            <w:r>
              <w:rPr>
                <w:rFonts w:hint="default"/>
                <w:lang w:val="en-US" w:eastAsia="zh-CN"/>
              </w:rPr>
              <w:t>10%吡虫啉乳油</w:t>
            </w:r>
          </w:p>
        </w:tc>
        <w:tc>
          <w:tcPr>
            <w:tcW w:w="1282" w:type="pct"/>
            <w:noWrap w:val="0"/>
            <w:vAlign w:val="center"/>
          </w:tcPr>
          <w:p w14:paraId="2A6257BB">
            <w:pPr>
              <w:pStyle w:val="56"/>
              <w:ind w:left="0" w:leftChars="0" w:firstLine="0" w:firstLineChars="0"/>
              <w:jc w:val="center"/>
              <w:rPr>
                <w:rFonts w:hint="default"/>
                <w:lang w:val="en-US" w:eastAsia="zh-CN"/>
              </w:rPr>
            </w:pPr>
            <w:r>
              <w:rPr>
                <w:rFonts w:hint="default"/>
                <w:lang w:val="en-US" w:eastAsia="zh-CN"/>
              </w:rPr>
              <w:t>1000倍液</w:t>
            </w:r>
          </w:p>
        </w:tc>
        <w:tc>
          <w:tcPr>
            <w:tcW w:w="656" w:type="pct"/>
            <w:noWrap w:val="0"/>
            <w:vAlign w:val="center"/>
          </w:tcPr>
          <w:p w14:paraId="5E9D4A33">
            <w:pPr>
              <w:pStyle w:val="56"/>
              <w:ind w:left="0" w:leftChars="0" w:firstLine="0" w:firstLineChars="0"/>
              <w:jc w:val="center"/>
              <w:rPr>
                <w:rFonts w:hint="default"/>
                <w:lang w:val="en-US" w:eastAsia="zh-CN"/>
              </w:rPr>
            </w:pPr>
            <w:r>
              <w:rPr>
                <w:rFonts w:hint="default"/>
                <w:lang w:val="en-US" w:eastAsia="zh-CN"/>
              </w:rPr>
              <w:t>喷雾</w:t>
            </w:r>
          </w:p>
        </w:tc>
        <w:tc>
          <w:tcPr>
            <w:tcW w:w="772" w:type="pct"/>
            <w:vMerge w:val="restart"/>
            <w:noWrap w:val="0"/>
            <w:vAlign w:val="center"/>
          </w:tcPr>
          <w:p w14:paraId="0E1D7E31">
            <w:pPr>
              <w:pStyle w:val="56"/>
              <w:ind w:left="0" w:leftChars="0" w:firstLine="0" w:firstLineChars="0"/>
              <w:jc w:val="center"/>
              <w:rPr>
                <w:rFonts w:hint="default"/>
                <w:lang w:val="en-US" w:eastAsia="zh-CN"/>
              </w:rPr>
            </w:pPr>
            <w:r>
              <w:rPr>
                <w:rFonts w:hint="default"/>
                <w:lang w:val="en-US" w:eastAsia="zh-CN"/>
              </w:rPr>
              <w:t>有蚜株率达15%或100株蚜虫量大于1000头</w:t>
            </w:r>
          </w:p>
        </w:tc>
      </w:tr>
      <w:tr w14:paraId="3C887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pct"/>
            <w:vMerge w:val="continue"/>
            <w:noWrap w:val="0"/>
            <w:vAlign w:val="center"/>
          </w:tcPr>
          <w:p w14:paraId="499E90C1">
            <w:pPr>
              <w:pStyle w:val="56"/>
              <w:jc w:val="center"/>
              <w:rPr>
                <w:rFonts w:hint="default"/>
                <w:lang w:val="en-US" w:eastAsia="zh-CN"/>
              </w:rPr>
            </w:pPr>
          </w:p>
        </w:tc>
        <w:tc>
          <w:tcPr>
            <w:tcW w:w="1446" w:type="pct"/>
            <w:noWrap w:val="0"/>
            <w:vAlign w:val="center"/>
          </w:tcPr>
          <w:p w14:paraId="470A5BCE">
            <w:pPr>
              <w:pStyle w:val="56"/>
              <w:ind w:left="0" w:leftChars="0" w:firstLine="0" w:firstLineChars="0"/>
              <w:jc w:val="center"/>
              <w:rPr>
                <w:rFonts w:hint="default"/>
                <w:lang w:val="en-US" w:eastAsia="zh-CN"/>
              </w:rPr>
            </w:pPr>
            <w:r>
              <w:rPr>
                <w:rFonts w:hint="default"/>
                <w:lang w:val="en-US" w:eastAsia="zh-CN"/>
              </w:rPr>
              <w:t>5%啶虫脒乳油</w:t>
            </w:r>
          </w:p>
        </w:tc>
        <w:tc>
          <w:tcPr>
            <w:tcW w:w="1282" w:type="pct"/>
            <w:noWrap w:val="0"/>
            <w:vAlign w:val="center"/>
          </w:tcPr>
          <w:p w14:paraId="617474DA">
            <w:pPr>
              <w:pStyle w:val="56"/>
              <w:ind w:left="0" w:leftChars="0" w:firstLine="0" w:firstLineChars="0"/>
              <w:jc w:val="center"/>
              <w:rPr>
                <w:rFonts w:hint="default"/>
                <w:lang w:val="en-US" w:eastAsia="zh-CN"/>
              </w:rPr>
            </w:pPr>
            <w:r>
              <w:rPr>
                <w:rFonts w:hint="default"/>
                <w:lang w:val="en-US" w:eastAsia="zh-CN"/>
              </w:rPr>
              <w:t>1500倍液</w:t>
            </w:r>
            <w:r>
              <w:rPr>
                <w:rFonts w:hint="eastAsia" w:hAnsi="宋体"/>
                <w:sz w:val="18"/>
                <w:szCs w:val="18"/>
              </w:rPr>
              <w:t>～</w:t>
            </w:r>
            <w:r>
              <w:rPr>
                <w:rFonts w:hint="default"/>
                <w:lang w:val="en-US" w:eastAsia="zh-CN"/>
              </w:rPr>
              <w:t>2000倍液</w:t>
            </w:r>
          </w:p>
        </w:tc>
        <w:tc>
          <w:tcPr>
            <w:tcW w:w="656" w:type="pct"/>
            <w:noWrap w:val="0"/>
            <w:vAlign w:val="center"/>
          </w:tcPr>
          <w:p w14:paraId="3DD2EACA">
            <w:pPr>
              <w:pStyle w:val="56"/>
              <w:ind w:left="0" w:leftChars="0" w:firstLine="0" w:firstLineChars="0"/>
              <w:jc w:val="center"/>
              <w:rPr>
                <w:rFonts w:hint="default"/>
                <w:lang w:val="en-US" w:eastAsia="zh-CN"/>
              </w:rPr>
            </w:pPr>
            <w:r>
              <w:rPr>
                <w:rFonts w:hint="default"/>
                <w:lang w:val="en-US" w:eastAsia="zh-CN"/>
              </w:rPr>
              <w:t>喷雾</w:t>
            </w:r>
          </w:p>
        </w:tc>
        <w:tc>
          <w:tcPr>
            <w:tcW w:w="772" w:type="pct"/>
            <w:vMerge w:val="continue"/>
            <w:noWrap w:val="0"/>
            <w:vAlign w:val="center"/>
          </w:tcPr>
          <w:p w14:paraId="2F02BB9F">
            <w:pPr>
              <w:pStyle w:val="56"/>
              <w:jc w:val="center"/>
              <w:rPr>
                <w:rFonts w:hint="default"/>
                <w:lang w:val="en-US" w:eastAsia="zh-CN"/>
              </w:rPr>
            </w:pPr>
          </w:p>
        </w:tc>
      </w:tr>
      <w:tr w14:paraId="68592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841" w:type="pct"/>
            <w:vMerge w:val="restart"/>
            <w:noWrap w:val="0"/>
            <w:vAlign w:val="center"/>
          </w:tcPr>
          <w:p w14:paraId="617F4659">
            <w:pPr>
              <w:pStyle w:val="56"/>
              <w:ind w:left="0" w:leftChars="0" w:firstLine="0" w:firstLineChars="0"/>
              <w:jc w:val="center"/>
              <w:rPr>
                <w:rFonts w:hint="default"/>
                <w:lang w:val="en-US" w:eastAsia="zh-CN"/>
              </w:rPr>
            </w:pPr>
            <w:r>
              <w:rPr>
                <w:rFonts w:hint="default"/>
                <w:lang w:val="en-US" w:eastAsia="zh-CN"/>
              </w:rPr>
              <w:t>玉米螟、高粱条螟、棉铃虫</w:t>
            </w:r>
          </w:p>
        </w:tc>
        <w:tc>
          <w:tcPr>
            <w:tcW w:w="1446" w:type="pct"/>
            <w:noWrap w:val="0"/>
            <w:vAlign w:val="center"/>
          </w:tcPr>
          <w:p w14:paraId="2A1AF54B">
            <w:pPr>
              <w:pStyle w:val="56"/>
              <w:ind w:left="0" w:leftChars="0" w:firstLine="0" w:firstLineChars="0"/>
              <w:jc w:val="center"/>
              <w:rPr>
                <w:rFonts w:hint="default"/>
                <w:lang w:val="en-US" w:eastAsia="zh-CN"/>
              </w:rPr>
            </w:pPr>
            <w:r>
              <w:rPr>
                <w:rFonts w:hint="default"/>
                <w:lang w:val="en-US" w:eastAsia="zh-CN"/>
              </w:rPr>
              <w:t>1600IU/mg苏云金杆菌可湿性粉剂</w:t>
            </w:r>
          </w:p>
        </w:tc>
        <w:tc>
          <w:tcPr>
            <w:tcW w:w="1282" w:type="pct"/>
            <w:noWrap w:val="0"/>
            <w:vAlign w:val="center"/>
          </w:tcPr>
          <w:p w14:paraId="66E31481">
            <w:pPr>
              <w:pStyle w:val="56"/>
              <w:ind w:left="0" w:leftChars="0" w:firstLine="0" w:firstLineChars="0"/>
              <w:jc w:val="center"/>
              <w:rPr>
                <w:rFonts w:hint="default"/>
                <w:lang w:val="en-US" w:eastAsia="zh-CN"/>
              </w:rPr>
            </w:pPr>
            <w:r>
              <w:rPr>
                <w:rFonts w:hint="default"/>
                <w:lang w:val="en-US" w:eastAsia="zh-CN"/>
              </w:rPr>
              <w:t>250g</w:t>
            </w:r>
            <w:r>
              <w:rPr>
                <w:rFonts w:hint="eastAsia" w:hAnsi="宋体"/>
                <w:sz w:val="18"/>
                <w:szCs w:val="18"/>
              </w:rPr>
              <w:t>～</w:t>
            </w:r>
            <w:r>
              <w:rPr>
                <w:rFonts w:hint="default"/>
                <w:lang w:val="en-US" w:eastAsia="zh-CN"/>
              </w:rPr>
              <w:t>300g</w:t>
            </w:r>
          </w:p>
        </w:tc>
        <w:tc>
          <w:tcPr>
            <w:tcW w:w="656" w:type="pct"/>
            <w:noWrap w:val="0"/>
            <w:vAlign w:val="center"/>
          </w:tcPr>
          <w:p w14:paraId="13C66017">
            <w:pPr>
              <w:pStyle w:val="56"/>
              <w:ind w:left="0" w:leftChars="0" w:firstLine="0" w:firstLineChars="0"/>
              <w:jc w:val="center"/>
              <w:rPr>
                <w:rFonts w:hint="default"/>
                <w:lang w:val="en-US" w:eastAsia="zh-CN"/>
              </w:rPr>
            </w:pPr>
            <w:r>
              <w:rPr>
                <w:rFonts w:hint="default"/>
                <w:lang w:val="en-US" w:eastAsia="zh-CN"/>
              </w:rPr>
              <w:t>喷雾、毒土</w:t>
            </w:r>
          </w:p>
        </w:tc>
        <w:tc>
          <w:tcPr>
            <w:tcW w:w="772" w:type="pct"/>
            <w:vMerge w:val="restart"/>
            <w:noWrap w:val="0"/>
            <w:vAlign w:val="center"/>
          </w:tcPr>
          <w:p w14:paraId="54B1C209">
            <w:pPr>
              <w:pStyle w:val="56"/>
              <w:ind w:left="0" w:leftChars="0" w:firstLine="0" w:firstLineChars="0"/>
              <w:jc w:val="center"/>
              <w:rPr>
                <w:rFonts w:hint="default"/>
                <w:lang w:val="en-US" w:eastAsia="zh-CN"/>
              </w:rPr>
            </w:pPr>
            <w:r>
              <w:rPr>
                <w:rFonts w:hint="default"/>
                <w:lang w:val="en-US" w:eastAsia="zh-CN"/>
              </w:rPr>
              <w:t>喇叭口期、</w:t>
            </w:r>
          </w:p>
          <w:p w14:paraId="68656132">
            <w:pPr>
              <w:pStyle w:val="56"/>
              <w:ind w:left="0" w:leftChars="0" w:firstLine="0" w:firstLineChars="0"/>
              <w:jc w:val="center"/>
              <w:rPr>
                <w:rFonts w:hint="default"/>
                <w:lang w:val="en-US" w:eastAsia="zh-CN"/>
              </w:rPr>
            </w:pPr>
            <w:r>
              <w:rPr>
                <w:rFonts w:hint="default"/>
                <w:lang w:val="en-US" w:eastAsia="zh-CN"/>
              </w:rPr>
              <w:t>始穗期至灌浆期</w:t>
            </w:r>
          </w:p>
        </w:tc>
      </w:tr>
      <w:tr w14:paraId="5EECA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41" w:type="pct"/>
            <w:vMerge w:val="continue"/>
            <w:noWrap w:val="0"/>
            <w:vAlign w:val="center"/>
          </w:tcPr>
          <w:p w14:paraId="646095C6">
            <w:pPr>
              <w:pStyle w:val="56"/>
              <w:jc w:val="center"/>
              <w:rPr>
                <w:rFonts w:hint="default"/>
                <w:lang w:val="en-US" w:eastAsia="zh-CN"/>
              </w:rPr>
            </w:pPr>
          </w:p>
        </w:tc>
        <w:tc>
          <w:tcPr>
            <w:tcW w:w="1446" w:type="pct"/>
            <w:noWrap w:val="0"/>
            <w:vAlign w:val="center"/>
          </w:tcPr>
          <w:p w14:paraId="54C6F3E7">
            <w:pPr>
              <w:pStyle w:val="56"/>
              <w:ind w:left="0" w:leftChars="0" w:firstLine="0" w:firstLineChars="0"/>
              <w:jc w:val="center"/>
              <w:rPr>
                <w:rFonts w:hint="default"/>
                <w:lang w:val="en-US" w:eastAsia="zh-CN"/>
              </w:rPr>
            </w:pPr>
            <w:r>
              <w:rPr>
                <w:rFonts w:hint="default"/>
                <w:lang w:val="en-US" w:eastAsia="zh-CN"/>
              </w:rPr>
              <w:t>0.3%印楝素乳油</w:t>
            </w:r>
          </w:p>
        </w:tc>
        <w:tc>
          <w:tcPr>
            <w:tcW w:w="1282" w:type="pct"/>
            <w:noWrap w:val="0"/>
            <w:vAlign w:val="center"/>
          </w:tcPr>
          <w:p w14:paraId="4A52E731">
            <w:pPr>
              <w:pStyle w:val="56"/>
              <w:ind w:left="0" w:leftChars="0" w:firstLine="0" w:firstLineChars="0"/>
              <w:jc w:val="center"/>
              <w:rPr>
                <w:rFonts w:hint="default"/>
                <w:lang w:val="en-US" w:eastAsia="zh-CN"/>
              </w:rPr>
            </w:pPr>
            <w:r>
              <w:rPr>
                <w:rFonts w:hint="default"/>
                <w:lang w:val="en-US" w:eastAsia="zh-CN"/>
              </w:rPr>
              <w:t>80ml</w:t>
            </w:r>
            <w:r>
              <w:rPr>
                <w:rFonts w:hint="eastAsia" w:hAnsi="宋体"/>
                <w:sz w:val="18"/>
                <w:szCs w:val="18"/>
              </w:rPr>
              <w:t>～</w:t>
            </w:r>
            <w:r>
              <w:rPr>
                <w:rFonts w:hint="default"/>
                <w:lang w:val="en-US" w:eastAsia="zh-CN"/>
              </w:rPr>
              <w:t>100ml</w:t>
            </w:r>
          </w:p>
        </w:tc>
        <w:tc>
          <w:tcPr>
            <w:tcW w:w="656" w:type="pct"/>
            <w:noWrap w:val="0"/>
            <w:vAlign w:val="center"/>
          </w:tcPr>
          <w:p w14:paraId="09E6207A">
            <w:pPr>
              <w:pStyle w:val="56"/>
              <w:ind w:left="0" w:leftChars="0" w:firstLine="0" w:firstLineChars="0"/>
              <w:jc w:val="center"/>
              <w:rPr>
                <w:rFonts w:hint="default"/>
                <w:lang w:val="en-US" w:eastAsia="zh-CN"/>
              </w:rPr>
            </w:pPr>
            <w:r>
              <w:rPr>
                <w:rFonts w:hint="default"/>
                <w:lang w:val="en-US" w:eastAsia="zh-CN"/>
              </w:rPr>
              <w:t>喷雾</w:t>
            </w:r>
          </w:p>
        </w:tc>
        <w:tc>
          <w:tcPr>
            <w:tcW w:w="772" w:type="pct"/>
            <w:vMerge w:val="continue"/>
            <w:noWrap w:val="0"/>
            <w:vAlign w:val="center"/>
          </w:tcPr>
          <w:p w14:paraId="74615C37">
            <w:pPr>
              <w:pStyle w:val="56"/>
              <w:jc w:val="center"/>
              <w:rPr>
                <w:rFonts w:hint="default"/>
                <w:lang w:val="en-US" w:eastAsia="zh-CN"/>
              </w:rPr>
            </w:pPr>
          </w:p>
        </w:tc>
      </w:tr>
      <w:tr w14:paraId="25DB3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841" w:type="pct"/>
            <w:vMerge w:val="continue"/>
            <w:noWrap w:val="0"/>
            <w:vAlign w:val="center"/>
          </w:tcPr>
          <w:p w14:paraId="349B845A">
            <w:pPr>
              <w:pStyle w:val="56"/>
              <w:jc w:val="center"/>
              <w:rPr>
                <w:rFonts w:hint="default"/>
                <w:lang w:val="en-US" w:eastAsia="zh-CN"/>
              </w:rPr>
            </w:pPr>
          </w:p>
        </w:tc>
        <w:tc>
          <w:tcPr>
            <w:tcW w:w="1446" w:type="pct"/>
            <w:noWrap w:val="0"/>
            <w:vAlign w:val="center"/>
          </w:tcPr>
          <w:p w14:paraId="46B3D7A0">
            <w:pPr>
              <w:pStyle w:val="56"/>
              <w:ind w:left="0" w:leftChars="0" w:firstLine="0" w:firstLineChars="0"/>
              <w:jc w:val="center"/>
              <w:rPr>
                <w:rFonts w:hint="default"/>
                <w:lang w:val="en-US" w:eastAsia="zh-CN"/>
              </w:rPr>
            </w:pPr>
            <w:r>
              <w:rPr>
                <w:rFonts w:hint="default"/>
                <w:lang w:val="en-US" w:eastAsia="zh-CN"/>
              </w:rPr>
              <w:t>5%甲氨基阿维菌素苯甲酸盐可溶粒剂</w:t>
            </w:r>
          </w:p>
        </w:tc>
        <w:tc>
          <w:tcPr>
            <w:tcW w:w="1282" w:type="pct"/>
            <w:noWrap w:val="0"/>
            <w:vAlign w:val="center"/>
          </w:tcPr>
          <w:p w14:paraId="49E959E4">
            <w:pPr>
              <w:pStyle w:val="56"/>
              <w:ind w:left="0" w:leftChars="0" w:firstLine="0" w:firstLineChars="0"/>
              <w:jc w:val="center"/>
              <w:rPr>
                <w:rFonts w:hint="default"/>
                <w:lang w:val="en-US" w:eastAsia="zh-CN"/>
              </w:rPr>
            </w:pPr>
            <w:r>
              <w:rPr>
                <w:rFonts w:hint="default"/>
                <w:lang w:val="en-US" w:eastAsia="zh-CN"/>
              </w:rPr>
              <w:t>10g</w:t>
            </w:r>
            <w:r>
              <w:rPr>
                <w:rFonts w:hint="eastAsia" w:hAnsi="宋体"/>
                <w:sz w:val="18"/>
                <w:szCs w:val="18"/>
              </w:rPr>
              <w:t>～</w:t>
            </w:r>
            <w:r>
              <w:rPr>
                <w:rFonts w:hint="default"/>
                <w:lang w:val="en-US" w:eastAsia="zh-CN"/>
              </w:rPr>
              <w:t>15g</w:t>
            </w:r>
          </w:p>
        </w:tc>
        <w:tc>
          <w:tcPr>
            <w:tcW w:w="656" w:type="pct"/>
            <w:noWrap w:val="0"/>
            <w:vAlign w:val="center"/>
          </w:tcPr>
          <w:p w14:paraId="7B75C7DB">
            <w:pPr>
              <w:pStyle w:val="56"/>
              <w:ind w:left="0" w:leftChars="0" w:firstLine="0" w:firstLineChars="0"/>
              <w:jc w:val="center"/>
              <w:rPr>
                <w:rFonts w:hint="default"/>
                <w:lang w:val="en-US" w:eastAsia="zh-CN"/>
              </w:rPr>
            </w:pPr>
            <w:r>
              <w:rPr>
                <w:rFonts w:hint="default"/>
                <w:lang w:val="en-US" w:eastAsia="zh-CN"/>
              </w:rPr>
              <w:t>喷雾、毒土</w:t>
            </w:r>
          </w:p>
        </w:tc>
        <w:tc>
          <w:tcPr>
            <w:tcW w:w="772" w:type="pct"/>
            <w:vMerge w:val="continue"/>
            <w:noWrap w:val="0"/>
            <w:vAlign w:val="center"/>
          </w:tcPr>
          <w:p w14:paraId="1005F864">
            <w:pPr>
              <w:pStyle w:val="56"/>
              <w:jc w:val="center"/>
              <w:rPr>
                <w:rFonts w:hint="default"/>
                <w:lang w:val="en-US" w:eastAsia="zh-CN"/>
              </w:rPr>
            </w:pPr>
          </w:p>
        </w:tc>
      </w:tr>
      <w:tr w14:paraId="65F4E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841" w:type="pct"/>
            <w:vMerge w:val="continue"/>
            <w:noWrap w:val="0"/>
            <w:vAlign w:val="center"/>
          </w:tcPr>
          <w:p w14:paraId="039A9D20">
            <w:pPr>
              <w:pStyle w:val="56"/>
              <w:jc w:val="center"/>
              <w:rPr>
                <w:rFonts w:hint="default"/>
                <w:lang w:val="en-US" w:eastAsia="zh-CN"/>
              </w:rPr>
            </w:pPr>
          </w:p>
        </w:tc>
        <w:tc>
          <w:tcPr>
            <w:tcW w:w="1446" w:type="pct"/>
            <w:noWrap w:val="0"/>
            <w:vAlign w:val="center"/>
          </w:tcPr>
          <w:p w14:paraId="556C7583">
            <w:pPr>
              <w:pStyle w:val="56"/>
              <w:ind w:left="0" w:leftChars="0" w:firstLine="0" w:firstLineChars="0"/>
              <w:jc w:val="center"/>
              <w:rPr>
                <w:rFonts w:hint="default"/>
                <w:lang w:val="en-US" w:eastAsia="zh-CN"/>
              </w:rPr>
            </w:pPr>
            <w:r>
              <w:rPr>
                <w:rFonts w:hint="default"/>
                <w:lang w:val="en-US" w:eastAsia="zh-CN"/>
              </w:rPr>
              <w:t>200g/L氯虫苯甲酰胺悬浮剂</w:t>
            </w:r>
          </w:p>
        </w:tc>
        <w:tc>
          <w:tcPr>
            <w:tcW w:w="1282" w:type="pct"/>
            <w:noWrap w:val="0"/>
            <w:vAlign w:val="center"/>
          </w:tcPr>
          <w:p w14:paraId="55D12C6F">
            <w:pPr>
              <w:pStyle w:val="56"/>
              <w:ind w:left="0" w:leftChars="0" w:firstLine="0" w:firstLineChars="0"/>
              <w:jc w:val="center"/>
              <w:rPr>
                <w:rFonts w:hint="default"/>
                <w:lang w:val="en-US" w:eastAsia="zh-CN"/>
              </w:rPr>
            </w:pPr>
            <w:r>
              <w:rPr>
                <w:rFonts w:hint="default"/>
                <w:lang w:val="en-US" w:eastAsia="zh-CN"/>
              </w:rPr>
              <w:t>10ml</w:t>
            </w:r>
            <w:r>
              <w:rPr>
                <w:rFonts w:hint="eastAsia" w:hAnsi="宋体"/>
                <w:sz w:val="18"/>
                <w:szCs w:val="18"/>
              </w:rPr>
              <w:t>～</w:t>
            </w:r>
            <w:r>
              <w:rPr>
                <w:rFonts w:hint="default"/>
                <w:lang w:val="en-US" w:eastAsia="zh-CN"/>
              </w:rPr>
              <w:t>15ml</w:t>
            </w:r>
          </w:p>
        </w:tc>
        <w:tc>
          <w:tcPr>
            <w:tcW w:w="656" w:type="pct"/>
            <w:noWrap w:val="0"/>
            <w:vAlign w:val="center"/>
          </w:tcPr>
          <w:p w14:paraId="5C9E4CD7">
            <w:pPr>
              <w:pStyle w:val="56"/>
              <w:ind w:left="0" w:leftChars="0" w:firstLine="0" w:firstLineChars="0"/>
              <w:jc w:val="center"/>
              <w:rPr>
                <w:rFonts w:hint="default"/>
                <w:lang w:val="en-US" w:eastAsia="zh-CN"/>
              </w:rPr>
            </w:pPr>
            <w:r>
              <w:rPr>
                <w:rFonts w:hint="default"/>
                <w:lang w:val="en-US" w:eastAsia="zh-CN"/>
              </w:rPr>
              <w:t>喷雾</w:t>
            </w:r>
          </w:p>
        </w:tc>
        <w:tc>
          <w:tcPr>
            <w:tcW w:w="772" w:type="pct"/>
            <w:vMerge w:val="continue"/>
            <w:noWrap w:val="0"/>
            <w:vAlign w:val="center"/>
          </w:tcPr>
          <w:p w14:paraId="3242A9C8">
            <w:pPr>
              <w:pStyle w:val="56"/>
              <w:jc w:val="center"/>
              <w:rPr>
                <w:rFonts w:hint="default"/>
                <w:lang w:val="en-US" w:eastAsia="zh-CN"/>
              </w:rPr>
            </w:pPr>
          </w:p>
        </w:tc>
      </w:tr>
      <w:tr w14:paraId="7EF69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1" w:type="pct"/>
            <w:noWrap w:val="0"/>
            <w:vAlign w:val="center"/>
          </w:tcPr>
          <w:p w14:paraId="4C2A25F2">
            <w:pPr>
              <w:pStyle w:val="56"/>
              <w:ind w:left="0" w:leftChars="0" w:firstLine="0" w:firstLineChars="0"/>
              <w:jc w:val="center"/>
              <w:rPr>
                <w:rFonts w:hint="default"/>
                <w:lang w:val="en-US" w:eastAsia="zh-CN"/>
              </w:rPr>
            </w:pPr>
            <w:r>
              <w:rPr>
                <w:rFonts w:hint="default"/>
                <w:lang w:val="en-US" w:eastAsia="zh-CN"/>
              </w:rPr>
              <w:t>桃蛀螟</w:t>
            </w:r>
          </w:p>
        </w:tc>
        <w:tc>
          <w:tcPr>
            <w:tcW w:w="1446" w:type="pct"/>
            <w:noWrap w:val="0"/>
            <w:vAlign w:val="center"/>
          </w:tcPr>
          <w:p w14:paraId="4CF195CF">
            <w:pPr>
              <w:pStyle w:val="56"/>
              <w:ind w:left="0" w:leftChars="0" w:firstLine="0" w:firstLineChars="0"/>
              <w:jc w:val="center"/>
              <w:rPr>
                <w:rFonts w:hint="default"/>
                <w:lang w:val="en-US" w:eastAsia="zh-CN"/>
              </w:rPr>
            </w:pPr>
            <w:r>
              <w:rPr>
                <w:rFonts w:hint="default"/>
                <w:lang w:val="en-US" w:eastAsia="zh-CN"/>
              </w:rPr>
              <w:t>10%吡虫啉可湿性粉剂</w:t>
            </w:r>
          </w:p>
        </w:tc>
        <w:tc>
          <w:tcPr>
            <w:tcW w:w="1282" w:type="pct"/>
            <w:noWrap w:val="0"/>
            <w:vAlign w:val="center"/>
          </w:tcPr>
          <w:p w14:paraId="191A4E4E">
            <w:pPr>
              <w:pStyle w:val="56"/>
              <w:ind w:left="0" w:leftChars="0" w:firstLine="0" w:firstLineChars="0"/>
              <w:jc w:val="center"/>
              <w:rPr>
                <w:rFonts w:hint="default"/>
                <w:lang w:val="en-US" w:eastAsia="zh-CN"/>
              </w:rPr>
            </w:pPr>
            <w:r>
              <w:rPr>
                <w:rFonts w:hint="default"/>
                <w:lang w:val="en-US" w:eastAsia="zh-CN"/>
              </w:rPr>
              <w:t>1500倍液</w:t>
            </w:r>
          </w:p>
        </w:tc>
        <w:tc>
          <w:tcPr>
            <w:tcW w:w="656" w:type="pct"/>
            <w:noWrap w:val="0"/>
            <w:vAlign w:val="center"/>
          </w:tcPr>
          <w:p w14:paraId="032AE425">
            <w:pPr>
              <w:pStyle w:val="56"/>
              <w:ind w:left="0" w:leftChars="0" w:firstLine="0" w:firstLineChars="0"/>
              <w:jc w:val="center"/>
              <w:rPr>
                <w:rFonts w:hint="default"/>
                <w:lang w:val="en-US" w:eastAsia="zh-CN"/>
              </w:rPr>
            </w:pPr>
            <w:r>
              <w:rPr>
                <w:rFonts w:hint="default"/>
                <w:lang w:val="en-US" w:eastAsia="zh-CN"/>
              </w:rPr>
              <w:t>喷雾</w:t>
            </w:r>
          </w:p>
        </w:tc>
        <w:tc>
          <w:tcPr>
            <w:tcW w:w="772" w:type="pct"/>
            <w:noWrap w:val="0"/>
            <w:vAlign w:val="center"/>
          </w:tcPr>
          <w:p w14:paraId="5AC8A896">
            <w:pPr>
              <w:pStyle w:val="56"/>
              <w:ind w:left="0" w:leftChars="0" w:firstLine="0" w:firstLineChars="0"/>
              <w:jc w:val="center"/>
              <w:rPr>
                <w:rFonts w:hint="default"/>
                <w:lang w:val="en-US" w:eastAsia="zh-CN"/>
              </w:rPr>
            </w:pPr>
            <w:r>
              <w:rPr>
                <w:rFonts w:hint="default"/>
                <w:lang w:val="en-US" w:eastAsia="zh-CN"/>
              </w:rPr>
              <w:t>开花至乳熟期</w:t>
            </w:r>
          </w:p>
        </w:tc>
      </w:tr>
    </w:tbl>
    <w:p w14:paraId="186CFD59">
      <w:pPr>
        <w:pStyle w:val="56"/>
      </w:pPr>
    </w:p>
    <w:p w14:paraId="637988D6">
      <w:pPr>
        <w:pStyle w:val="56"/>
        <w:ind w:firstLine="0" w:firstLineChars="0"/>
        <w:jc w:val="center"/>
      </w:pPr>
      <w:bookmarkStart w:id="43"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5"/>
                    <a:stretch>
                      <a:fillRect/>
                    </a:stretch>
                  </pic:blipFill>
                  <pic:spPr>
                    <a:xfrm>
                      <a:off x="0" y="0"/>
                      <a:ext cx="1485900" cy="317500"/>
                    </a:xfrm>
                    <a:prstGeom prst="rect">
                      <a:avLst/>
                    </a:prstGeom>
                  </pic:spPr>
                </pic:pic>
              </a:graphicData>
            </a:graphic>
          </wp:inline>
        </w:drawing>
      </w:r>
      <w:bookmarkEnd w:id="42"/>
      <w:bookmarkEnd w:id="43"/>
    </w:p>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roman"/>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DECCF">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903BE">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AA0F1">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93B31">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2ABD5">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69DE1">
    <w:pPr>
      <w:pStyle w:val="52"/>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92B49">
    <w:pPr>
      <w:pStyle w:val="51"/>
    </w:pPr>
    <w:r>
      <w:fldChar w:fldCharType="begin"/>
    </w:r>
    <w:r>
      <w:instrText xml:space="preserve"> PAGE   \* MERGEFORMAT \* MERGEFORMAT </w:instrText>
    </w:r>
    <w:r>
      <w:fldChar w:fldCharType="separate"/>
    </w:r>
    <w: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667FA">
    <w:pPr>
      <w:pStyle w:val="52"/>
    </w:pPr>
    <w:r>
      <w:fldChar w:fldCharType="begin"/>
    </w:r>
    <w:r>
      <w:instrText xml:space="preserve">PAGE   \* MERGEFORMAT</w:instrText>
    </w:r>
    <w:r>
      <w:fldChar w:fldCharType="separate"/>
    </w:r>
    <w:r>
      <w:rPr>
        <w:lang w:val="zh-CN"/>
      </w:rPr>
      <w:t>7</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2678B">
    <w:pPr>
      <w:pStyle w:val="51"/>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E0FF3">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2527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4360B">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48395">
    <w:pPr>
      <w:pStyle w:val="61"/>
    </w:pPr>
    <w:r>
      <w:fldChar w:fldCharType="begin"/>
    </w:r>
    <w:r>
      <w:instrText xml:space="preserve"> STYLEREF  标准文件_文件编号  \* MERGEFORMAT </w:instrText>
    </w:r>
    <w:r>
      <w:fldChar w:fldCharType="separate"/>
    </w:r>
    <w:r>
      <w:t>DB 3213/T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C5687">
    <w:pPr>
      <w:pStyle w:val="62"/>
    </w:pPr>
    <w:r>
      <w:fldChar w:fldCharType="begin"/>
    </w:r>
    <w:r>
      <w:instrText xml:space="preserve"> STYLEREF  标准文件_文件编号 \* MERGEFORMAT </w:instrText>
    </w:r>
    <w:r>
      <w:fldChar w:fldCharType="separate"/>
    </w:r>
    <w:r>
      <w:t>DB 3213/T XXXX—2024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D8357">
    <w:pPr>
      <w:pStyle w:val="61"/>
    </w:pPr>
    <w:r>
      <w:fldChar w:fldCharType="begin"/>
    </w:r>
    <w:r>
      <w:instrText xml:space="preserve"> STYLEREF  标准文件_文件编号  \* MERGEFORMAT </w:instrText>
    </w:r>
    <w:r>
      <w:fldChar w:fldCharType="separate"/>
    </w:r>
    <w:r>
      <w:t>DB 3213/T XXXX—2024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D8900">
    <w:pPr>
      <w:pStyle w:val="62"/>
    </w:pPr>
    <w:r>
      <w:fldChar w:fldCharType="begin"/>
    </w:r>
    <w:r>
      <w:instrText xml:space="preserve"> STYLEREF  标准文件_文件编号 \* MERGEFORMAT </w:instrText>
    </w:r>
    <w:r>
      <w:fldChar w:fldCharType="separate"/>
    </w:r>
    <w:r>
      <w:t>DB 3213/T XXXX—2024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4F0F3">
    <w:pPr>
      <w:pStyle w:val="61"/>
    </w:pPr>
    <w:r>
      <w:fldChar w:fldCharType="begin"/>
    </w:r>
    <w:r>
      <w:instrText xml:space="preserve"> STYLEREF  标准文件_文件编号  \* MERGEFORMAT </w:instrText>
    </w:r>
    <w:r>
      <w:fldChar w:fldCharType="separate"/>
    </w:r>
    <w:r>
      <w:t>DB 3213/T XXXX—2024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C08D05">
    <w:pPr>
      <w:pStyle w:val="62"/>
    </w:pPr>
    <w:r>
      <w:fldChar w:fldCharType="begin"/>
    </w:r>
    <w:r>
      <w:instrText xml:space="preserve"> STYLEREF  标准文件_文件编号 \* MERGEFORMAT </w:instrText>
    </w:r>
    <w:r>
      <w:fldChar w:fldCharType="separate"/>
    </w:r>
    <w:r>
      <w:t>DB 3213/T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2"/>
      <w:suff w:val="nothing"/>
      <w:lvlText w:val="%1.%2.%3　"/>
      <w:lvlJc w:val="left"/>
      <w:pPr>
        <w:ind w:left="0" w:firstLine="0"/>
      </w:pPr>
      <w:rPr>
        <w:rFonts w:hint="eastAsia" w:ascii="黑体" w:hAnsi="Times New Roman" w:eastAsia="黑体"/>
        <w:b w:val="0"/>
        <w:i w:val="0"/>
        <w:sz w:val="21"/>
      </w:rPr>
    </w:lvl>
    <w:lvl w:ilvl="3" w:tentative="0">
      <w:start w:val="1"/>
      <w:numFmt w:val="decimal"/>
      <w:pStyle w:val="231"/>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attachedTemplate r:id="rId1"/>
  <w:documentProtection w:edit="forms" w:enforcement="1" w:cryptProviderType="rsaFull" w:cryptAlgorithmClass="hash" w:cryptAlgorithmType="typeAny" w:cryptAlgorithmSid="4" w:cryptSpinCount="100000" w:hash="WxT4wcy/2l4EJCsAD88EpQQDTYw=" w:salt="ZAYnOTvU64lPYU/JdUio4g=="/>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DhlMjBkMDZlY2Y1N2NiZjdjNzVkZmNlYzgyYWYifQ=="/>
  </w:docVars>
  <w:rsids>
    <w:rsidRoot w:val="00EF498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EF5"/>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3608"/>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467"/>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BFF"/>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BB1"/>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799C"/>
    <w:rsid w:val="0029168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9C2"/>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07E"/>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3EF"/>
    <w:rsid w:val="00527AB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4DA"/>
    <w:rsid w:val="005801E3"/>
    <w:rsid w:val="00581802"/>
    <w:rsid w:val="00581A35"/>
    <w:rsid w:val="005836A8"/>
    <w:rsid w:val="0058409C"/>
    <w:rsid w:val="00584262"/>
    <w:rsid w:val="00586630"/>
    <w:rsid w:val="00587ADD"/>
    <w:rsid w:val="00591E27"/>
    <w:rsid w:val="00596160"/>
    <w:rsid w:val="005966E2"/>
    <w:rsid w:val="00597007"/>
    <w:rsid w:val="005A0966"/>
    <w:rsid w:val="005A11B7"/>
    <w:rsid w:val="005A260B"/>
    <w:rsid w:val="005A4A1B"/>
    <w:rsid w:val="005A691A"/>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44F"/>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5F5"/>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5C6"/>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2F4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A95"/>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B39"/>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6252"/>
    <w:rsid w:val="00941F92"/>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68C6"/>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688D"/>
    <w:rsid w:val="00B04654"/>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BA6"/>
    <w:rsid w:val="00B50E50"/>
    <w:rsid w:val="00B52120"/>
    <w:rsid w:val="00B54ABC"/>
    <w:rsid w:val="00B54DDE"/>
    <w:rsid w:val="00B56FBE"/>
    <w:rsid w:val="00B60ACF"/>
    <w:rsid w:val="00B62B58"/>
    <w:rsid w:val="00B65149"/>
    <w:rsid w:val="00B66567"/>
    <w:rsid w:val="00B66F52"/>
    <w:rsid w:val="00B66FE5"/>
    <w:rsid w:val="00B72880"/>
    <w:rsid w:val="00B73009"/>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5ED3"/>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7C2"/>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606A"/>
    <w:rsid w:val="00E3137A"/>
    <w:rsid w:val="00E32CCF"/>
    <w:rsid w:val="00E34A98"/>
    <w:rsid w:val="00E35D1E"/>
    <w:rsid w:val="00E364F9"/>
    <w:rsid w:val="00E365FA"/>
    <w:rsid w:val="00E36789"/>
    <w:rsid w:val="00E41479"/>
    <w:rsid w:val="00E43B6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63DE"/>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4648"/>
    <w:rsid w:val="00EF4980"/>
    <w:rsid w:val="00EF613C"/>
    <w:rsid w:val="00EF7E72"/>
    <w:rsid w:val="00F05DD8"/>
    <w:rsid w:val="00F06D37"/>
    <w:rsid w:val="00F07B9D"/>
    <w:rsid w:val="00F11586"/>
    <w:rsid w:val="00F1183B"/>
    <w:rsid w:val="00F11C9F"/>
    <w:rsid w:val="00F12263"/>
    <w:rsid w:val="00F1409D"/>
    <w:rsid w:val="00F14214"/>
    <w:rsid w:val="00F157A9"/>
    <w:rsid w:val="00F2160A"/>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618"/>
    <w:rsid w:val="00FD7299"/>
    <w:rsid w:val="00FE1FBE"/>
    <w:rsid w:val="00FE3901"/>
    <w:rsid w:val="00FE39D3"/>
    <w:rsid w:val="00FE4BCE"/>
    <w:rsid w:val="00FE54AE"/>
    <w:rsid w:val="00FE576A"/>
    <w:rsid w:val="00FE7E79"/>
    <w:rsid w:val="00FF3E7D"/>
    <w:rsid w:val="00FF5B99"/>
    <w:rsid w:val="00FF730C"/>
    <w:rsid w:val="00FF73F4"/>
    <w:rsid w:val="00FF7CE4"/>
    <w:rsid w:val="00FF7E39"/>
    <w:rsid w:val="02C90595"/>
    <w:rsid w:val="031F12CE"/>
    <w:rsid w:val="03A62CE3"/>
    <w:rsid w:val="03FD2384"/>
    <w:rsid w:val="04234542"/>
    <w:rsid w:val="09595825"/>
    <w:rsid w:val="097143DB"/>
    <w:rsid w:val="0B346475"/>
    <w:rsid w:val="0D240982"/>
    <w:rsid w:val="0FDE750E"/>
    <w:rsid w:val="107B1D13"/>
    <w:rsid w:val="10BE2E9B"/>
    <w:rsid w:val="12D720A5"/>
    <w:rsid w:val="15CF6BB0"/>
    <w:rsid w:val="16A90C1A"/>
    <w:rsid w:val="18554574"/>
    <w:rsid w:val="1A9340E4"/>
    <w:rsid w:val="1B194BA6"/>
    <w:rsid w:val="1DD566D1"/>
    <w:rsid w:val="1FCC13AA"/>
    <w:rsid w:val="21CC2D12"/>
    <w:rsid w:val="23CE1DE6"/>
    <w:rsid w:val="24617178"/>
    <w:rsid w:val="2718121A"/>
    <w:rsid w:val="27F53BFF"/>
    <w:rsid w:val="29AE2367"/>
    <w:rsid w:val="2BD70B3A"/>
    <w:rsid w:val="2E823302"/>
    <w:rsid w:val="316116FE"/>
    <w:rsid w:val="32AF07F2"/>
    <w:rsid w:val="32D3412D"/>
    <w:rsid w:val="353B4436"/>
    <w:rsid w:val="36BE54AF"/>
    <w:rsid w:val="378D6FA0"/>
    <w:rsid w:val="37D869F7"/>
    <w:rsid w:val="37FB72EF"/>
    <w:rsid w:val="381C011C"/>
    <w:rsid w:val="385B52F0"/>
    <w:rsid w:val="38A16656"/>
    <w:rsid w:val="3A361970"/>
    <w:rsid w:val="3B6F5921"/>
    <w:rsid w:val="3BBA3572"/>
    <w:rsid w:val="3BE13D5E"/>
    <w:rsid w:val="3CDB779C"/>
    <w:rsid w:val="3D28305D"/>
    <w:rsid w:val="3E1A70B4"/>
    <w:rsid w:val="41EF4EF9"/>
    <w:rsid w:val="43E3619A"/>
    <w:rsid w:val="44891EC3"/>
    <w:rsid w:val="453A1148"/>
    <w:rsid w:val="456504A4"/>
    <w:rsid w:val="456F3E0F"/>
    <w:rsid w:val="46523B3D"/>
    <w:rsid w:val="46933EA7"/>
    <w:rsid w:val="491A5E72"/>
    <w:rsid w:val="4ADE2910"/>
    <w:rsid w:val="4C9F19F9"/>
    <w:rsid w:val="4CAF5E87"/>
    <w:rsid w:val="4D19055F"/>
    <w:rsid w:val="4D4511EA"/>
    <w:rsid w:val="4DCB03CA"/>
    <w:rsid w:val="4E2A3E2C"/>
    <w:rsid w:val="55CB540B"/>
    <w:rsid w:val="561D19DF"/>
    <w:rsid w:val="56D773A5"/>
    <w:rsid w:val="57055D98"/>
    <w:rsid w:val="59653481"/>
    <w:rsid w:val="59745DBA"/>
    <w:rsid w:val="59F5549D"/>
    <w:rsid w:val="5BA2483F"/>
    <w:rsid w:val="5CDF179C"/>
    <w:rsid w:val="5EC73D97"/>
    <w:rsid w:val="5FA70B3C"/>
    <w:rsid w:val="62015D11"/>
    <w:rsid w:val="62584A3A"/>
    <w:rsid w:val="639419B6"/>
    <w:rsid w:val="643423CE"/>
    <w:rsid w:val="66171B8A"/>
    <w:rsid w:val="66DE2A4E"/>
    <w:rsid w:val="680D18B3"/>
    <w:rsid w:val="6AF15D78"/>
    <w:rsid w:val="6B90406B"/>
    <w:rsid w:val="6C9A56E0"/>
    <w:rsid w:val="6CCC58BC"/>
    <w:rsid w:val="6D464F20"/>
    <w:rsid w:val="6ECD3F62"/>
    <w:rsid w:val="6F1D6404"/>
    <w:rsid w:val="6F4575D7"/>
    <w:rsid w:val="6F8D5088"/>
    <w:rsid w:val="70207CAA"/>
    <w:rsid w:val="70285532"/>
    <w:rsid w:val="70C725FD"/>
    <w:rsid w:val="71445C1A"/>
    <w:rsid w:val="71926986"/>
    <w:rsid w:val="73166466"/>
    <w:rsid w:val="731D7396"/>
    <w:rsid w:val="74584206"/>
    <w:rsid w:val="746639C2"/>
    <w:rsid w:val="750E2891"/>
    <w:rsid w:val="7630676D"/>
    <w:rsid w:val="78561266"/>
    <w:rsid w:val="78BF6C0A"/>
    <w:rsid w:val="78FE12E2"/>
    <w:rsid w:val="7B1328B6"/>
    <w:rsid w:val="7B90437A"/>
    <w:rsid w:val="7E166FFE"/>
    <w:rsid w:val="7E7F0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qFormat="1"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Char"/>
    <w:link w:val="2"/>
    <w:uiPriority w:val="0"/>
    <w:rPr>
      <w:b/>
      <w:bCs/>
      <w:kern w:val="44"/>
      <w:sz w:val="44"/>
      <w:szCs w:val="44"/>
    </w:rPr>
  </w:style>
  <w:style w:type="character" w:customStyle="1" w:styleId="35">
    <w:name w:val="标题 2 Char"/>
    <w:link w:val="3"/>
    <w:uiPriority w:val="0"/>
    <w:rPr>
      <w:rFonts w:ascii="Arial" w:hAnsi="Arial" w:eastAsia="黑体"/>
      <w:b/>
      <w:bCs/>
      <w:kern w:val="2"/>
      <w:sz w:val="32"/>
      <w:szCs w:val="32"/>
    </w:rPr>
  </w:style>
  <w:style w:type="character" w:customStyle="1" w:styleId="36">
    <w:name w:val="标题 3 Char"/>
    <w:link w:val="4"/>
    <w:uiPriority w:val="0"/>
    <w:rPr>
      <w:b/>
      <w:bCs/>
      <w:kern w:val="2"/>
      <w:sz w:val="32"/>
      <w:szCs w:val="32"/>
    </w:rPr>
  </w:style>
  <w:style w:type="character" w:customStyle="1" w:styleId="37">
    <w:name w:val="标题 4 Char"/>
    <w:link w:val="5"/>
    <w:uiPriority w:val="0"/>
    <w:rPr>
      <w:rFonts w:ascii="Arial" w:hAnsi="Arial" w:eastAsia="黑体"/>
      <w:b/>
      <w:bCs/>
      <w:kern w:val="2"/>
      <w:sz w:val="28"/>
      <w:szCs w:val="28"/>
    </w:rPr>
  </w:style>
  <w:style w:type="character" w:customStyle="1" w:styleId="38">
    <w:name w:val="标题 5 Char"/>
    <w:link w:val="6"/>
    <w:uiPriority w:val="0"/>
    <w:rPr>
      <w:b/>
      <w:bCs/>
      <w:kern w:val="2"/>
      <w:sz w:val="28"/>
      <w:szCs w:val="28"/>
    </w:rPr>
  </w:style>
  <w:style w:type="character" w:customStyle="1" w:styleId="39">
    <w:name w:val="标题 6 Char"/>
    <w:link w:val="7"/>
    <w:uiPriority w:val="0"/>
    <w:rPr>
      <w:rFonts w:ascii="Arial" w:hAnsi="Arial" w:eastAsia="黑体"/>
      <w:b/>
      <w:bCs/>
      <w:kern w:val="2"/>
      <w:sz w:val="24"/>
      <w:szCs w:val="24"/>
    </w:rPr>
  </w:style>
  <w:style w:type="character" w:customStyle="1" w:styleId="40">
    <w:name w:val="标题 7 Char"/>
    <w:link w:val="8"/>
    <w:uiPriority w:val="0"/>
    <w:rPr>
      <w:b/>
      <w:bCs/>
      <w:kern w:val="2"/>
      <w:sz w:val="24"/>
      <w:szCs w:val="24"/>
    </w:rPr>
  </w:style>
  <w:style w:type="character" w:customStyle="1" w:styleId="41">
    <w:name w:val="标题 8 Char"/>
    <w:link w:val="9"/>
    <w:uiPriority w:val="0"/>
    <w:rPr>
      <w:rFonts w:ascii="Arial" w:hAnsi="Arial" w:eastAsia="黑体"/>
      <w:kern w:val="2"/>
      <w:sz w:val="24"/>
      <w:szCs w:val="24"/>
    </w:rPr>
  </w:style>
  <w:style w:type="character" w:customStyle="1" w:styleId="42">
    <w:name w:val="标题 9 Char"/>
    <w:link w:val="10"/>
    <w:uiPriority w:val="0"/>
    <w:rPr>
      <w:rFonts w:ascii="Arial" w:hAnsi="Arial" w:eastAsia="黑体"/>
      <w:kern w:val="2"/>
      <w:sz w:val="21"/>
      <w:szCs w:val="21"/>
    </w:rPr>
  </w:style>
  <w:style w:type="character" w:customStyle="1" w:styleId="43">
    <w:name w:val="页眉 Char"/>
    <w:link w:val="18"/>
    <w:uiPriority w:val="99"/>
    <w:rPr>
      <w:kern w:val="2"/>
      <w:sz w:val="18"/>
      <w:szCs w:val="18"/>
    </w:rPr>
  </w:style>
  <w:style w:type="character" w:customStyle="1" w:styleId="44">
    <w:name w:val="页脚 Char"/>
    <w:link w:val="17"/>
    <w:uiPriority w:val="99"/>
    <w:rPr>
      <w:rFonts w:ascii="宋体"/>
      <w:kern w:val="2"/>
      <w:sz w:val="18"/>
      <w:szCs w:val="18"/>
    </w:rPr>
  </w:style>
  <w:style w:type="character" w:customStyle="1" w:styleId="45">
    <w:name w:val="批注框文本 Char"/>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uiPriority w:val="29"/>
    <w:rPr>
      <w:i/>
      <w:iCs/>
      <w:color w:val="000000"/>
      <w:kern w:val="2"/>
      <w:sz w:val="21"/>
      <w:szCs w:val="21"/>
    </w:rPr>
  </w:style>
  <w:style w:type="character" w:customStyle="1" w:styleId="48">
    <w:name w:val="标题 Char"/>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autoRedefine/>
    <w:qFormat/>
    <w:uiPriority w:val="0"/>
    <w:pPr>
      <w:tabs>
        <w:tab w:val="center" w:pos="4201"/>
        <w:tab w:val="right" w:leader="dot" w:pos="9298"/>
      </w:tabs>
      <w:autoSpaceDE w:val="0"/>
      <w:autoSpaceDN w:val="0"/>
      <w:jc w:val="center"/>
    </w:pPr>
    <w:rPr>
      <w:rFonts w:ascii="宋体" w:hAnsi="Times New Roman" w:eastAsia="宋体" w:cs="Times New Roman"/>
      <w:sz w:val="21"/>
      <w:lang w:val="en-US" w:eastAsia="zh-CN" w:bidi="ar-SA"/>
    </w:rPr>
  </w:style>
  <w:style w:type="paragraph" w:customStyle="1" w:styleId="231">
    <w:name w:val="三级条标题"/>
    <w:basedOn w:val="232"/>
    <w:next w:val="230"/>
    <w:uiPriority w:val="0"/>
    <w:pPr>
      <w:numPr>
        <w:ilvl w:val="3"/>
        <w:numId w:val="32"/>
      </w:numPr>
      <w:outlineLvl w:val="4"/>
    </w:pPr>
  </w:style>
  <w:style w:type="paragraph" w:customStyle="1" w:styleId="232">
    <w:name w:val="二级条标题"/>
    <w:basedOn w:val="233"/>
    <w:next w:val="230"/>
    <w:uiPriority w:val="0"/>
    <w:pPr>
      <w:numPr>
        <w:ilvl w:val="2"/>
        <w:numId w:val="32"/>
      </w:numPr>
      <w:spacing w:before="50" w:after="50"/>
      <w:outlineLvl w:val="3"/>
    </w:pPr>
  </w:style>
  <w:style w:type="paragraph" w:customStyle="1" w:styleId="233">
    <w:name w:val="一级条标题"/>
    <w:next w:val="230"/>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6B8B09BFDFE4369BEC73095C7D6DCA4"/>
        <w:style w:val=""/>
        <w:category>
          <w:name w:val="常规"/>
          <w:gallery w:val="placeholder"/>
        </w:category>
        <w:types>
          <w:type w:val="bbPlcHdr"/>
        </w:types>
        <w:behaviors>
          <w:behavior w:val="content"/>
        </w:behaviors>
        <w:description w:val=""/>
        <w:guid w:val="{D7F0878A-5981-418D-AD18-3CB3A7F57047}"/>
      </w:docPartPr>
      <w:docPartBody>
        <w:p w14:paraId="449B8F90">
          <w:pPr>
            <w:pStyle w:val="5"/>
          </w:pPr>
          <w:r>
            <w:rPr>
              <w:rStyle w:val="4"/>
              <w:rFonts w:hint="eastAsia"/>
            </w:rPr>
            <w:t>单击或点击此处输入文字。</w:t>
          </w:r>
        </w:p>
      </w:docPartBody>
    </w:docPart>
    <w:docPart>
      <w:docPartPr>
        <w:name w:val="8B7B3EC5D996428484AAE3E88CD2ACA8"/>
        <w:style w:val=""/>
        <w:category>
          <w:name w:val="常规"/>
          <w:gallery w:val="placeholder"/>
        </w:category>
        <w:types>
          <w:type w:val="bbPlcHdr"/>
        </w:types>
        <w:behaviors>
          <w:behavior w:val="content"/>
        </w:behaviors>
        <w:description w:val=""/>
        <w:guid w:val="{7A71F99B-2E87-4304-8147-EDC9D4D8B4D9}"/>
      </w:docPartPr>
      <w:docPartBody>
        <w:p w14:paraId="791162B0">
          <w:pPr>
            <w:pStyle w:val="6"/>
          </w:pPr>
          <w:r>
            <w:rPr>
              <w:rStyle w:val="4"/>
              <w:rFonts w:hint="eastAsia"/>
            </w:rPr>
            <w:t>选择一项。</w:t>
          </w:r>
        </w:p>
      </w:docPartBody>
    </w:docPart>
    <w:docPart>
      <w:docPartPr>
        <w:name w:val="919DF88B3C38460C974FD1A411E2D537"/>
        <w:style w:val=""/>
        <w:category>
          <w:name w:val="常规"/>
          <w:gallery w:val="placeholder"/>
        </w:category>
        <w:types>
          <w:type w:val="bbPlcHdr"/>
        </w:types>
        <w:behaviors>
          <w:behavior w:val="content"/>
        </w:behaviors>
        <w:description w:val=""/>
        <w:guid w:val="{A9543CF7-EC39-4F02-8C6E-D95465D3B348}"/>
      </w:docPartPr>
      <w:docPartBody>
        <w:p w14:paraId="714FAD6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FAE"/>
    <w:rsid w:val="00782FAE"/>
    <w:rsid w:val="008D53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96B8B09BFDFE4369BEC73095C7D6DCA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B7B3EC5D996428484AAE3E88CD2ACA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19DF88B3C38460C974FD1A411E2D53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915C92-6B81-40E3-AF91-E9D57E8F3B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2974</Words>
  <Characters>3419</Characters>
  <Lines>37</Lines>
  <Paragraphs>10</Paragraphs>
  <TotalTime>8</TotalTime>
  <ScaleCrop>false</ScaleCrop>
  <LinksUpToDate>false</LinksUpToDate>
  <CharactersWithSpaces>3571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2024-05-16T06:00:00Z</dcterms:created>
  <dc:creator>123</dc:creator>
  <dc:description>&lt;config cover="true" show_menu="true" version="1.0.0" doctype="SDKXY"&gt;_x000d_
&lt;/config&gt;</dc:description>
  <cp:lastModifiedBy>金</cp:lastModifiedBy>
  <cp:lastPrinted>2020-08-30T10:00:00Z</cp:lastPrinted>
  <dcterms:modified xsi:type="dcterms:W3CDTF">2024-10-28T03:24:27Z</dcterms:modified>
  <dc:title>地方标准</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2052-12.1.0.18608</vt:lpwstr>
  </property>
  <property fmtid="{D5CDD505-2E9C-101B-9397-08002B2CF9AE}" pid="16" name="ICV">
    <vt:lpwstr>8B8A5AF2FCB04E77A83EE8320BDC44B3_12</vt:lpwstr>
  </property>
</Properties>
</file>