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8A97F">
      <w:pPr>
        <w:jc w:val="center"/>
        <w:rPr>
          <w:rFonts w:hint="default" w:ascii="Times New Roman" w:hAnsi="Times New Roman" w:cs="Times New Roman"/>
          <w:sz w:val="36"/>
          <w:szCs w:val="44"/>
          <w:lang w:eastAsia="zh-CN"/>
        </w:rPr>
      </w:pPr>
    </w:p>
    <w:p w14:paraId="77CDF3D1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eastAsia="zh-CN"/>
        </w:rPr>
      </w:pPr>
    </w:p>
    <w:p w14:paraId="2785CCBC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52"/>
          <w:lang w:eastAsia="zh-CN"/>
        </w:rPr>
        <w:t>宿迁市地方标准</w:t>
      </w:r>
    </w:p>
    <w:p w14:paraId="1BA22313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eastAsia="zh-CN"/>
        </w:rPr>
      </w:pPr>
    </w:p>
    <w:p w14:paraId="3575E777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52"/>
          <w:lang w:eastAsia="zh-CN"/>
        </w:rPr>
        <w:t>（</w:t>
      </w:r>
      <w:r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  <w:t>DB 3213/T xxxx-202</w:t>
      </w:r>
      <w:r>
        <w:rPr>
          <w:rFonts w:hint="eastAsia" w:ascii="Times New Roman" w:hAnsi="Times New Roman" w:cs="Times New Roman"/>
          <w:b/>
          <w:bCs/>
          <w:sz w:val="44"/>
          <w:szCs w:val="52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44"/>
          <w:szCs w:val="52"/>
          <w:lang w:eastAsia="zh-CN"/>
        </w:rPr>
        <w:t>）</w:t>
      </w:r>
    </w:p>
    <w:p w14:paraId="77DDE13C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eastAsia="zh-CN"/>
        </w:rPr>
      </w:pPr>
    </w:p>
    <w:p w14:paraId="0ED2BF89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  <w:t>《</w:t>
      </w:r>
      <w:r>
        <w:rPr>
          <w:rFonts w:hint="eastAsia" w:ascii="Times New Roman" w:hAnsi="Times New Roman" w:cs="Times New Roman"/>
          <w:b/>
          <w:bCs/>
          <w:sz w:val="44"/>
          <w:szCs w:val="52"/>
          <w:lang w:val="en-US" w:eastAsia="zh-CN"/>
        </w:rPr>
        <w:t>大水面生态养殖鲢鳙起捕</w:t>
      </w:r>
      <w:r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  <w:t>管理规范》</w:t>
      </w:r>
    </w:p>
    <w:p w14:paraId="0630CE3F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</w:pPr>
    </w:p>
    <w:p w14:paraId="31267096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</w:pPr>
    </w:p>
    <w:p w14:paraId="6541BF49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</w:pPr>
    </w:p>
    <w:p w14:paraId="5BAAF0AE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</w:pPr>
    </w:p>
    <w:p w14:paraId="13FB3398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</w:pPr>
    </w:p>
    <w:p w14:paraId="702FF2F1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</w:pPr>
    </w:p>
    <w:p w14:paraId="5BB6D3D5">
      <w:pPr>
        <w:jc w:val="center"/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52"/>
          <w:lang w:val="en-US" w:eastAsia="zh-CN"/>
        </w:rPr>
        <w:t>编制说明</w:t>
      </w:r>
    </w:p>
    <w:p w14:paraId="19B42211">
      <w:pPr>
        <w:jc w:val="center"/>
        <w:rPr>
          <w:rFonts w:hint="default" w:ascii="Times New Roman" w:hAnsi="Times New Roman" w:cs="Times New Roman"/>
          <w:sz w:val="36"/>
          <w:szCs w:val="44"/>
          <w:lang w:val="en-US" w:eastAsia="zh-CN"/>
        </w:rPr>
      </w:pPr>
    </w:p>
    <w:p w14:paraId="4485BD66">
      <w:pPr>
        <w:jc w:val="center"/>
        <w:rPr>
          <w:rFonts w:hint="default" w:ascii="Times New Roman" w:hAnsi="Times New Roman" w:cs="Times New Roman"/>
          <w:sz w:val="36"/>
          <w:szCs w:val="44"/>
          <w:lang w:val="en-US" w:eastAsia="zh-CN"/>
        </w:rPr>
      </w:pPr>
    </w:p>
    <w:p w14:paraId="0A386777">
      <w:pPr>
        <w:jc w:val="center"/>
        <w:rPr>
          <w:rFonts w:hint="default" w:ascii="Times New Roman" w:hAnsi="Times New Roman" w:cs="Times New Roman"/>
          <w:sz w:val="36"/>
          <w:szCs w:val="44"/>
          <w:lang w:val="en-US" w:eastAsia="zh-CN"/>
        </w:rPr>
      </w:pPr>
    </w:p>
    <w:p w14:paraId="07AC3F3D">
      <w:pPr>
        <w:jc w:val="center"/>
        <w:rPr>
          <w:rFonts w:hint="default" w:ascii="Times New Roman" w:hAnsi="Times New Roman" w:cs="Times New Roman"/>
          <w:sz w:val="36"/>
          <w:szCs w:val="44"/>
          <w:lang w:val="en-US" w:eastAsia="zh-CN"/>
        </w:rPr>
      </w:pPr>
    </w:p>
    <w:p w14:paraId="1BA5F5A0">
      <w:pPr>
        <w:jc w:val="center"/>
        <w:rPr>
          <w:rFonts w:hint="default" w:ascii="Times New Roman" w:hAnsi="Times New Roman" w:cs="Times New Roman"/>
          <w:sz w:val="36"/>
          <w:szCs w:val="44"/>
          <w:lang w:val="en-US" w:eastAsia="zh-CN"/>
        </w:rPr>
      </w:pPr>
    </w:p>
    <w:p w14:paraId="0A7CD2B5">
      <w:pPr>
        <w:jc w:val="center"/>
        <w:rPr>
          <w:rFonts w:hint="default" w:ascii="Times New Roman" w:hAnsi="Times New Roman" w:eastAsia="楷体" w:cs="Times New Roman"/>
          <w:sz w:val="36"/>
          <w:szCs w:val="44"/>
          <w:lang w:val="en-US" w:eastAsia="zh-CN"/>
        </w:rPr>
      </w:pPr>
      <w:r>
        <w:rPr>
          <w:rFonts w:hint="default" w:ascii="Times New Roman" w:hAnsi="Times New Roman" w:eastAsia="楷体" w:cs="Times New Roman"/>
          <w:sz w:val="36"/>
          <w:szCs w:val="44"/>
          <w:lang w:val="en-US" w:eastAsia="zh-CN"/>
        </w:rPr>
        <w:t>江苏省骆马湖渔业管理委员会办公室</w:t>
      </w:r>
    </w:p>
    <w:p w14:paraId="728E9598">
      <w:pPr>
        <w:jc w:val="center"/>
        <w:rPr>
          <w:rFonts w:hint="default" w:ascii="Times New Roman" w:hAnsi="Times New Roman" w:eastAsia="楷体" w:cs="Times New Roman"/>
          <w:sz w:val="36"/>
          <w:szCs w:val="44"/>
          <w:lang w:val="en-US" w:eastAsia="zh-CN"/>
        </w:rPr>
      </w:pPr>
      <w:r>
        <w:rPr>
          <w:rFonts w:hint="default" w:ascii="Times New Roman" w:hAnsi="Times New Roman" w:eastAsia="楷体" w:cs="Times New Roman"/>
          <w:sz w:val="36"/>
          <w:szCs w:val="44"/>
          <w:lang w:val="en-US" w:eastAsia="zh-CN"/>
        </w:rPr>
        <w:t>202</w:t>
      </w:r>
      <w:r>
        <w:rPr>
          <w:rFonts w:hint="eastAsia" w:ascii="Times New Roman" w:hAnsi="Times New Roman" w:eastAsia="楷体" w:cs="Times New Roman"/>
          <w:sz w:val="36"/>
          <w:szCs w:val="44"/>
          <w:lang w:val="en-US" w:eastAsia="zh-CN"/>
        </w:rPr>
        <w:t>4</w:t>
      </w:r>
      <w:r>
        <w:rPr>
          <w:rFonts w:hint="default" w:ascii="Times New Roman" w:hAnsi="Times New Roman" w:eastAsia="楷体" w:cs="Times New Roman"/>
          <w:sz w:val="36"/>
          <w:szCs w:val="44"/>
          <w:lang w:val="en-US" w:eastAsia="zh-CN"/>
        </w:rPr>
        <w:t>年</w:t>
      </w:r>
      <w:r>
        <w:rPr>
          <w:rFonts w:hint="eastAsia" w:ascii="Times New Roman" w:hAnsi="Times New Roman" w:eastAsia="楷体" w:cs="Times New Roman"/>
          <w:sz w:val="36"/>
          <w:szCs w:val="44"/>
          <w:lang w:val="en-US" w:eastAsia="zh-CN"/>
        </w:rPr>
        <w:t>12</w:t>
      </w:r>
      <w:bookmarkStart w:id="0" w:name="_GoBack"/>
      <w:bookmarkEnd w:id="0"/>
      <w:r>
        <w:rPr>
          <w:rFonts w:hint="default" w:ascii="Times New Roman" w:hAnsi="Times New Roman" w:eastAsia="楷体" w:cs="Times New Roman"/>
          <w:sz w:val="36"/>
          <w:szCs w:val="44"/>
          <w:lang w:val="en-US" w:eastAsia="zh-CN"/>
        </w:rPr>
        <w:t>月</w:t>
      </w:r>
    </w:p>
    <w:p w14:paraId="5F27C2CD">
      <w:pPr>
        <w:jc w:val="center"/>
        <w:rPr>
          <w:rFonts w:hint="default" w:ascii="Times New Roman" w:hAnsi="Times New Roman" w:cs="Times New Roman"/>
          <w:sz w:val="36"/>
          <w:szCs w:val="44"/>
          <w:lang w:val="en-US" w:eastAsia="zh-CN"/>
        </w:rPr>
      </w:pPr>
    </w:p>
    <w:p w14:paraId="69A02D81">
      <w:pPr>
        <w:numPr>
          <w:ilvl w:val="0"/>
          <w:numId w:val="0"/>
        </w:numPr>
        <w:ind w:firstLine="640" w:firstLineChars="200"/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一、工作简况</w:t>
      </w:r>
    </w:p>
    <w:p w14:paraId="4BD7246B">
      <w:pPr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 xml:space="preserve"> 编制宿迁市地方标准《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大水面生态养殖鲢鳙起捕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管理规范》，旨在统一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宿迁市内陆湖泊、水库人工生态养殖的鲢鳙起捕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管理技术标准，指导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起捕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事前准备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现场作业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作业结束后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集中上岸点、产品质量安全、记录和评估等管理要点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。</w:t>
      </w:r>
    </w:p>
    <w:p w14:paraId="18FDF3A8">
      <w:p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1.任务来源：本标准任务来源于宿迁市标准化战略推进委员会办公室下达的《关于组织申报202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年度宿迁市地方标准项目的通知》宿标推办发〔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号。本标准由江苏省骆马湖渔业管理委员会办公室（以下简称“省骆马湖渔管办”）提出。</w:t>
      </w:r>
    </w:p>
    <w:p w14:paraId="791C830B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2.主要参加起草的单位：省骆马湖渔管办。</w:t>
      </w:r>
    </w:p>
    <w:p w14:paraId="6FD9F4F0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3.主要参加人情况表。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417"/>
        <w:gridCol w:w="1566"/>
        <w:gridCol w:w="2375"/>
        <w:gridCol w:w="1653"/>
      </w:tblGrid>
      <w:tr w14:paraId="6B379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86" w:type="dxa"/>
          </w:tcPr>
          <w:p w14:paraId="278CC0E1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1417" w:type="dxa"/>
          </w:tcPr>
          <w:p w14:paraId="575ECA7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性别</w:t>
            </w:r>
          </w:p>
        </w:tc>
        <w:tc>
          <w:tcPr>
            <w:tcW w:w="1566" w:type="dxa"/>
            <w:vAlign w:val="top"/>
          </w:tcPr>
          <w:p w14:paraId="2B0D6047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2375" w:type="dxa"/>
            <w:vAlign w:val="top"/>
          </w:tcPr>
          <w:p w14:paraId="5124E4F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653" w:type="dxa"/>
            <w:vAlign w:val="top"/>
          </w:tcPr>
          <w:p w14:paraId="79510CC1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  <w:t>任务分工</w:t>
            </w:r>
          </w:p>
        </w:tc>
      </w:tr>
      <w:tr w14:paraId="5D18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vAlign w:val="center"/>
          </w:tcPr>
          <w:p w14:paraId="5E7FADB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穆新武</w:t>
            </w:r>
          </w:p>
        </w:tc>
        <w:tc>
          <w:tcPr>
            <w:tcW w:w="1417" w:type="dxa"/>
            <w:vAlign w:val="center"/>
          </w:tcPr>
          <w:p w14:paraId="60A97A2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男</w:t>
            </w:r>
          </w:p>
        </w:tc>
        <w:tc>
          <w:tcPr>
            <w:tcW w:w="1566" w:type="dxa"/>
            <w:vAlign w:val="center"/>
          </w:tcPr>
          <w:p w14:paraId="7D11EC1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工程师</w:t>
            </w:r>
          </w:p>
        </w:tc>
        <w:tc>
          <w:tcPr>
            <w:tcW w:w="2375" w:type="dxa"/>
            <w:vAlign w:val="center"/>
          </w:tcPr>
          <w:p w14:paraId="6EDA708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省骆马湖渔管办</w:t>
            </w:r>
          </w:p>
        </w:tc>
        <w:tc>
          <w:tcPr>
            <w:tcW w:w="1653" w:type="dxa"/>
            <w:vAlign w:val="center"/>
          </w:tcPr>
          <w:p w14:paraId="5B6643C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标准起草</w:t>
            </w:r>
          </w:p>
        </w:tc>
      </w:tr>
      <w:tr w14:paraId="25192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vAlign w:val="center"/>
          </w:tcPr>
          <w:p w14:paraId="7295C23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江伟</w:t>
            </w:r>
          </w:p>
        </w:tc>
        <w:tc>
          <w:tcPr>
            <w:tcW w:w="1417" w:type="dxa"/>
            <w:vAlign w:val="center"/>
          </w:tcPr>
          <w:p w14:paraId="0830E1A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男</w:t>
            </w:r>
          </w:p>
        </w:tc>
        <w:tc>
          <w:tcPr>
            <w:tcW w:w="1566" w:type="dxa"/>
            <w:vAlign w:val="center"/>
          </w:tcPr>
          <w:p w14:paraId="4C0AFE1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技师</w:t>
            </w:r>
          </w:p>
        </w:tc>
        <w:tc>
          <w:tcPr>
            <w:tcW w:w="2375" w:type="dxa"/>
            <w:vAlign w:val="center"/>
          </w:tcPr>
          <w:p w14:paraId="15CF789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省骆马湖渔管办</w:t>
            </w:r>
          </w:p>
        </w:tc>
        <w:tc>
          <w:tcPr>
            <w:tcW w:w="1653" w:type="dxa"/>
            <w:vAlign w:val="center"/>
          </w:tcPr>
          <w:p w14:paraId="650EF97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资料收集</w:t>
            </w:r>
          </w:p>
        </w:tc>
      </w:tr>
      <w:tr w14:paraId="49471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shd w:val="clear" w:color="auto" w:fill="auto"/>
            <w:vAlign w:val="center"/>
          </w:tcPr>
          <w:p w14:paraId="25344CC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蔡云海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C01BD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男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68ABF6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主任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5168DA0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省骆马湖渔管办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C45E12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项目管理</w:t>
            </w:r>
          </w:p>
        </w:tc>
      </w:tr>
      <w:tr w14:paraId="7A9F0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vAlign w:val="center"/>
          </w:tcPr>
          <w:p w14:paraId="727A8F5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高军</w:t>
            </w:r>
          </w:p>
        </w:tc>
        <w:tc>
          <w:tcPr>
            <w:tcW w:w="1417" w:type="dxa"/>
            <w:vAlign w:val="center"/>
          </w:tcPr>
          <w:p w14:paraId="7F8676E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男</w:t>
            </w:r>
          </w:p>
        </w:tc>
        <w:tc>
          <w:tcPr>
            <w:tcW w:w="1566" w:type="dxa"/>
            <w:vAlign w:val="center"/>
          </w:tcPr>
          <w:p w14:paraId="5029359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副主任</w:t>
            </w:r>
          </w:p>
        </w:tc>
        <w:tc>
          <w:tcPr>
            <w:tcW w:w="2375" w:type="dxa"/>
            <w:vAlign w:val="center"/>
          </w:tcPr>
          <w:p w14:paraId="1C7ADCC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省骆马湖渔管办</w:t>
            </w:r>
          </w:p>
        </w:tc>
        <w:tc>
          <w:tcPr>
            <w:tcW w:w="1653" w:type="dxa"/>
            <w:vAlign w:val="center"/>
          </w:tcPr>
          <w:p w14:paraId="21CDC10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项目管理</w:t>
            </w:r>
          </w:p>
        </w:tc>
      </w:tr>
      <w:tr w14:paraId="6BBC8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386" w:type="dxa"/>
            <w:shd w:val="clear" w:color="auto" w:fill="auto"/>
            <w:vAlign w:val="center"/>
          </w:tcPr>
          <w:p w14:paraId="247F252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张伟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4620F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男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6ADD0B1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处长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79CA990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省骆马湖渔管办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D54BAC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36"/>
                <w:lang w:val="en-US" w:eastAsia="zh-CN"/>
              </w:rPr>
              <w:t>项目协调</w:t>
            </w:r>
          </w:p>
        </w:tc>
      </w:tr>
    </w:tbl>
    <w:p w14:paraId="5C10E9D9">
      <w:pPr>
        <w:numPr>
          <w:ilvl w:val="0"/>
          <w:numId w:val="0"/>
        </w:numPr>
        <w:ind w:firstLine="640" w:firstLineChars="200"/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二、制定标准的必要性和意义</w:t>
      </w:r>
    </w:p>
    <w:p w14:paraId="7B361F68">
      <w:pPr>
        <w:spacing w:line="240" w:lineRule="auto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大水面生态渔业是我国淡水渔业的重要组成部分，在实施乡村振兴战略、维护水域和谐共生、保障优质水产品供给、推动产业融合发展等方面发挥着十分重要的作用。为认真贯彻习近平总书记关于树立大食物观的重要指示，践行“绿水青山就是金山银山”的绿色发展理念，落实2023年中央一号文件、农业农村部一号文件关于“大水面生态渔业”的精神，亟需建立一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系列大水面生态渔业建设管理标准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规范生态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渔业资源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合理利用，促进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大水面渔业产业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协调发展。</w:t>
      </w:r>
    </w:p>
    <w:p w14:paraId="1CD6B988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宿迁市依水而兴、因水而美，“怀抱”洪泽湖、骆马湖，“坐拥”京杭大运河和古黄河，是全国唯一具有“两湖两河”地理标识的地级市，水域面积占全市面积的四分之一，大水面渔业资源丰富、发展潜力巨大。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近年来，省骆马湖渔管办立足管理实际，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通过系列举措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在骆马湖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宿迁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水域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完成了大水面生态渔业养殖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管理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的转型升级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目前，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全湖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着力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打造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的高标准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净水网箱区56.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万平方，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生态网围养殖区1.38万亩，全部放养号称“水中清道夫”的鲢鳙，生长过程不投饵、不用药，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每年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可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为广大市民提供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000余吨绿色、安全、生态的高质量动物蛋白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。已经同步实现了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退捕渔民增产增收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固化氮磷降低水体富营养化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、落实水产品稳产保供等多重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效益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有效践行了“大食物观”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大水面生态渔业发展的新要求。</w:t>
      </w:r>
    </w:p>
    <w:p w14:paraId="7AA3846C">
      <w:pPr>
        <w:spacing w:line="240" w:lineRule="auto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面对当前的新形势和新要求，省骆马湖渔管办以此为契机，依据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前期试点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经验制定该规范，从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生态养殖的鲢、鳙起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捕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管理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入手，旨在提高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大水面渔业生产管理效率，促进人与自然和谐共生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，以期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为宿迁市大水面生态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渔业高质量发展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提供可复制可推广的经验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。</w:t>
      </w:r>
    </w:p>
    <w:p w14:paraId="4F278F6E">
      <w:pPr>
        <w:numPr>
          <w:ilvl w:val="0"/>
          <w:numId w:val="0"/>
        </w:numPr>
        <w:ind w:leftChars="200" w:firstLine="320" w:firstLineChars="100"/>
        <w:jc w:val="left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三、主要起草过程</w:t>
      </w:r>
    </w:p>
    <w:p w14:paraId="45041961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该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规范是以本单位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近年来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实际管理经验为基础，结合已有的相关研究成果，进行必要的补充研究整理，参照我国现行的相关标准，提出适用于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大水面生态养殖鲢鳙起捕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的管理标准，并验证其合理性。在标准的编制过程中，首先成立标准编制组，拟定详细的编写工作计划，明确责任分工，有序推进标准编写工作。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通过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广泛的调查研究和专题论证，总结了近年来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江苏省内外大水面渔业资源起捕的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科研成果和管理经验，广泛的征求了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中科院水生生物研究所、江苏省淡水水产研究所、宿迁市农科院、江苏省渔业协会大水面分会等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有关单位和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专家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的意见，对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规范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的内容进行反复讨论、修改和补充，最后提出本送审稿。</w:t>
      </w:r>
    </w:p>
    <w:p w14:paraId="25110F0E">
      <w:pPr>
        <w:numPr>
          <w:ilvl w:val="0"/>
          <w:numId w:val="2"/>
        </w:numPr>
        <w:ind w:firstLine="640" w:firstLineChars="200"/>
        <w:jc w:val="left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制定标准的原则和依据，与现行法律、法规、标准的关系。</w:t>
      </w:r>
    </w:p>
    <w:p w14:paraId="03389238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本标准制定过程中参考了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GB/T 22213《水产养殖术语》、NY 5051《无公害食品 淡水养殖用水水质》、SC/T 1149 《大水面增养殖容量计算方法》、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SC/T 6030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《渔业船舶用设备 技术要求和试验方法》、SC/T 3005 《水产品冻结操作技术规程》、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DB32/T 2878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 xml:space="preserve"> 《水产品质量追溯体系建设及管理规范》等，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本标准符合现行法律、法规、标准的要求。</w:t>
      </w:r>
    </w:p>
    <w:p w14:paraId="601C00D1">
      <w:pPr>
        <w:numPr>
          <w:ilvl w:val="0"/>
          <w:numId w:val="0"/>
        </w:numPr>
        <w:ind w:leftChars="200" w:firstLine="320" w:firstLineChars="100"/>
        <w:jc w:val="left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五、主要条款的说明</w:t>
      </w:r>
    </w:p>
    <w:p w14:paraId="1A831C6B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范围</w:t>
      </w:r>
    </w:p>
    <w:p w14:paraId="52AE7901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规范性引用文件</w:t>
      </w:r>
    </w:p>
    <w:p w14:paraId="3D1E9361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术语和定义</w:t>
      </w:r>
    </w:p>
    <w:p w14:paraId="716B2630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4、事前准备</w:t>
      </w:r>
    </w:p>
    <w:p w14:paraId="11D87297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5、现场作业</w:t>
      </w:r>
    </w:p>
    <w:p w14:paraId="2E6CC39A"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6、作业结束后</w:t>
      </w:r>
    </w:p>
    <w:p w14:paraId="213B23CF"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7、集中上岸点</w:t>
      </w:r>
    </w:p>
    <w:p w14:paraId="5BD4A607"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8、产品质量安全</w:t>
      </w:r>
    </w:p>
    <w:p w14:paraId="70B2C6B8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9、记录和评估</w:t>
      </w:r>
    </w:p>
    <w:p w14:paraId="73342578">
      <w:pPr>
        <w:numPr>
          <w:ilvl w:val="0"/>
          <w:numId w:val="0"/>
        </w:numPr>
        <w:ind w:leftChars="200" w:firstLine="320" w:firstLineChars="100"/>
        <w:jc w:val="left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六、重大意见分歧的处理依据和结果</w:t>
      </w:r>
    </w:p>
    <w:p w14:paraId="66DCB18B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在本标准起草和编制过程中，征求了相关专家意见，提出了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条修改意见，全部采纳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条。</w:t>
      </w:r>
    </w:p>
    <w:p w14:paraId="0AF9C6D9">
      <w:pPr>
        <w:numPr>
          <w:ilvl w:val="0"/>
          <w:numId w:val="0"/>
        </w:numPr>
        <w:ind w:firstLine="643" w:firstLineChars="200"/>
        <w:jc w:val="left"/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40"/>
          <w:lang w:val="en-US" w:eastAsia="zh-CN"/>
        </w:rPr>
        <w:t>七、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建议《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大水面生态养殖鲢鳙起捕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管理规范》编写标准作为推荐性标准发布实施。</w:t>
      </w:r>
    </w:p>
    <w:p w14:paraId="5297D1EC">
      <w:pPr>
        <w:numPr>
          <w:ilvl w:val="0"/>
          <w:numId w:val="0"/>
        </w:numPr>
        <w:ind w:leftChars="200" w:firstLine="321" w:firstLineChars="100"/>
        <w:jc w:val="left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40"/>
          <w:lang w:val="en-US" w:eastAsia="zh-CN"/>
        </w:rPr>
        <w:t>八、</w:t>
      </w: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贯彻标准的措施建议</w:t>
      </w:r>
    </w:p>
    <w:p w14:paraId="6568E9E6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cs="Times New Roman"/>
          <w:sz w:val="36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为使标准更好地发挥指导作用，提高宿迁市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大水面生态养殖鲢鳙起捕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的管理水平，建议做好宣传培训，使地方从事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渔业资源增殖与回捕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管理等工作的单位和个人掌握标准的各项技术要求，使标准的应用真正落到实处，同时对《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大水面生态养殖鲢鳙起捕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管理规范》地方标准执行情况进行跟踪调查，及时发现标准中存在的问题，不断修订完善。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A6A4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2AA21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2AA21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1"/>
      <w:suff w:val="nothing"/>
      <w:lvlText w:val="%1　"/>
      <w:lvlJc w:val="left"/>
      <w:pPr>
        <w:ind w:left="6237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FBA8BA9"/>
    <w:multiLevelType w:val="singleLevel"/>
    <w:tmpl w:val="5FBA8BA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iOTc0ZGE5YmY5OThiMDgxYWEwYjgzZjI2MGNkZDYifQ=="/>
  </w:docVars>
  <w:rsids>
    <w:rsidRoot w:val="00000000"/>
    <w:rsid w:val="00F176EE"/>
    <w:rsid w:val="030D0C4F"/>
    <w:rsid w:val="033A2801"/>
    <w:rsid w:val="05771031"/>
    <w:rsid w:val="07DD2093"/>
    <w:rsid w:val="109241D2"/>
    <w:rsid w:val="12931B3E"/>
    <w:rsid w:val="13A72581"/>
    <w:rsid w:val="14211035"/>
    <w:rsid w:val="1CE203FC"/>
    <w:rsid w:val="1F211FD8"/>
    <w:rsid w:val="2F51070E"/>
    <w:rsid w:val="60024705"/>
    <w:rsid w:val="636C18B0"/>
    <w:rsid w:val="7DF736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FollowedHyperlink"/>
    <w:basedOn w:val="8"/>
    <w:qFormat/>
    <w:uiPriority w:val="0"/>
    <w:rPr>
      <w:color w:val="3C3C3C"/>
      <w:u w:val="none"/>
    </w:rPr>
  </w:style>
  <w:style w:type="character" w:styleId="11">
    <w:name w:val="Emphasis"/>
    <w:basedOn w:val="8"/>
    <w:qFormat/>
    <w:uiPriority w:val="0"/>
    <w:rPr>
      <w:b/>
      <w:bCs/>
    </w:rPr>
  </w:style>
  <w:style w:type="character" w:styleId="12">
    <w:name w:val="HTML Definition"/>
    <w:basedOn w:val="8"/>
    <w:qFormat/>
    <w:uiPriority w:val="0"/>
  </w:style>
  <w:style w:type="character" w:styleId="13">
    <w:name w:val="HTML Variable"/>
    <w:basedOn w:val="8"/>
    <w:qFormat/>
    <w:uiPriority w:val="0"/>
  </w:style>
  <w:style w:type="character" w:styleId="14">
    <w:name w:val="Hyperlink"/>
    <w:basedOn w:val="8"/>
    <w:qFormat/>
    <w:uiPriority w:val="0"/>
    <w:rPr>
      <w:color w:val="3C3C3C"/>
      <w:u w:val="none"/>
    </w:rPr>
  </w:style>
  <w:style w:type="character" w:styleId="15">
    <w:name w:val="HTML Code"/>
    <w:basedOn w:val="8"/>
    <w:qFormat/>
    <w:uiPriority w:val="0"/>
    <w:rPr>
      <w:rFonts w:ascii="Courier New" w:hAnsi="Courier New"/>
      <w:sz w:val="20"/>
    </w:rPr>
  </w:style>
  <w:style w:type="character" w:styleId="16">
    <w:name w:val="HTML Cite"/>
    <w:basedOn w:val="8"/>
    <w:qFormat/>
    <w:uiPriority w:val="0"/>
    <w:rPr>
      <w:sz w:val="21"/>
      <w:szCs w:val="21"/>
      <w:shd w:val="clear" w:fill="FFFFFF"/>
    </w:rPr>
  </w:style>
  <w:style w:type="character" w:styleId="17">
    <w:name w:val="HTML Keyboard"/>
    <w:basedOn w:val="8"/>
    <w:qFormat/>
    <w:uiPriority w:val="0"/>
    <w:rPr>
      <w:rFonts w:ascii="Courier New" w:hAnsi="Courier New"/>
      <w:sz w:val="20"/>
    </w:rPr>
  </w:style>
  <w:style w:type="character" w:styleId="18">
    <w:name w:val="HTML Sample"/>
    <w:basedOn w:val="8"/>
    <w:qFormat/>
    <w:uiPriority w:val="0"/>
    <w:rPr>
      <w:rFonts w:ascii="Courier New" w:hAnsi="Courier New"/>
    </w:rPr>
  </w:style>
  <w:style w:type="paragraph" w:customStyle="1" w:styleId="19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0">
    <w:name w:val="current"/>
    <w:basedOn w:val="8"/>
    <w:qFormat/>
    <w:uiPriority w:val="0"/>
    <w:rPr>
      <w:sz w:val="21"/>
      <w:szCs w:val="21"/>
    </w:rPr>
  </w:style>
  <w:style w:type="paragraph" w:customStyle="1" w:styleId="21">
    <w:name w:val="章标题"/>
    <w:next w:val="19"/>
    <w:qFormat/>
    <w:uiPriority w:val="0"/>
    <w:pPr>
      <w:numPr>
        <w:ilvl w:val="0"/>
        <w:numId w:val="1"/>
      </w:numPr>
      <w:spacing w:before="312" w:beforeLines="100" w:after="312" w:afterLines="100"/>
      <w:ind w:left="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1799</Words>
  <Characters>1877</Characters>
  <Lines>0</Lines>
  <Paragraphs>0</Paragraphs>
  <TotalTime>28</TotalTime>
  <ScaleCrop>false</ScaleCrop>
  <LinksUpToDate>false</LinksUpToDate>
  <CharactersWithSpaces>1893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3大队</dc:creator>
  <cp:lastModifiedBy>admin</cp:lastModifiedBy>
  <cp:lastPrinted>2022-09-23T03:21:00Z</cp:lastPrinted>
  <dcterms:modified xsi:type="dcterms:W3CDTF">2024-12-03T07:14:00Z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A1C128633618427FA39B3847EBE2711D_13</vt:lpwstr>
  </property>
</Properties>
</file>