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D1BE3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D60DD38">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741B329">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0</w:t>
            </w:r>
            <w:r>
              <w:rPr>
                <w:rFonts w:hint="eastAsia" w:ascii="黑体" w:hAnsi="黑体" w:eastAsia="黑体"/>
                <w:sz w:val="21"/>
                <w:szCs w:val="21"/>
                <w:lang w:val="en-US" w:eastAsia="zh-CN"/>
              </w:rPr>
              <w:t>3.080</w:t>
            </w:r>
            <w:r>
              <w:rPr>
                <w:rFonts w:ascii="黑体" w:hAnsi="黑体" w:eastAsia="黑体"/>
                <w:sz w:val="21"/>
                <w:szCs w:val="21"/>
              </w:rPr>
              <w:fldChar w:fldCharType="end"/>
            </w:r>
            <w:bookmarkEnd w:id="0"/>
          </w:p>
        </w:tc>
      </w:tr>
      <w:tr w14:paraId="01CB8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3210F68">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7579B6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val="en-US" w:eastAsia="zh-CN"/>
              </w:rPr>
              <w:t>A16</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A09896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06D3D948">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3213</w:t>
            </w:r>
            <w:r>
              <w:fldChar w:fldCharType="end"/>
            </w:r>
            <w:bookmarkEnd w:id="3"/>
          </w:p>
        </w:tc>
      </w:tr>
    </w:tbl>
    <w:p w14:paraId="70EFA2AC">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宿迁市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665A60B9">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3213</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lang w:val="en-US" w:eastAsia="zh-CN"/>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2024</w:t>
      </w:r>
      <w:r>
        <w:fldChar w:fldCharType="end"/>
      </w:r>
      <w:bookmarkEnd w:id="7"/>
    </w:p>
    <w:p w14:paraId="00CE8462">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55F27F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453CCEB">
      <w:pPr>
        <w:pStyle w:val="51"/>
        <w:framePr w:w="9639" w:h="6976" w:hRule="exact" w:hSpace="0" w:vSpace="0" w:wrap="around" w:hAnchor="page" w:y="6408"/>
        <w:jc w:val="center"/>
        <w:rPr>
          <w:rFonts w:ascii="黑体" w:hAnsi="黑体" w:eastAsia="黑体"/>
          <w:b w:val="0"/>
          <w:bCs w:val="0"/>
          <w:w w:val="100"/>
        </w:rPr>
      </w:pPr>
    </w:p>
    <w:p w14:paraId="6A128ADC">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乡镇医保公共服务规范</w:t>
      </w:r>
      <w:r>
        <w:fldChar w:fldCharType="end"/>
      </w:r>
      <w:bookmarkEnd w:id="9"/>
    </w:p>
    <w:p w14:paraId="11895A4A">
      <w:pPr>
        <w:framePr w:w="9639" w:h="6974" w:hRule="exact" w:wrap="around" w:vAnchor="page" w:hAnchor="page" w:x="1419" w:y="6408" w:anchorLock="1"/>
        <w:ind w:left="-1418"/>
      </w:pPr>
    </w:p>
    <w:p w14:paraId="439D9D12">
      <w:pPr>
        <w:pStyle w:val="126"/>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the scope of public services for township medical insurance</w:t>
      </w:r>
      <w:r>
        <w:rPr>
          <w:rFonts w:ascii="黑体" w:hAnsi="黑体" w:eastAsia="黑体"/>
          <w:szCs w:val="28"/>
        </w:rPr>
        <w:fldChar w:fldCharType="end"/>
      </w:r>
      <w:bookmarkEnd w:id="10"/>
    </w:p>
    <w:p w14:paraId="225F656D">
      <w:pPr>
        <w:framePr w:w="9639" w:h="6974" w:hRule="exact" w:wrap="around" w:vAnchor="page" w:hAnchor="page" w:x="1419" w:y="6408" w:anchorLock="1"/>
        <w:spacing w:line="760" w:lineRule="exact"/>
        <w:ind w:left="-1418"/>
      </w:pPr>
    </w:p>
    <w:p w14:paraId="0299BE53">
      <w:pPr>
        <w:pStyle w:val="194"/>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3"/>
      <w:r>
        <w:rPr>
          <w:rFonts w:hint="eastAsia"/>
        </w:rPr>
        <w:t>发布</w:t>
      </w:r>
    </w:p>
    <w:p w14:paraId="3A1B0334">
      <w:pPr>
        <w:pStyle w:val="195"/>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hint="eastAsia" w:ascii="黑体"/>
          <w:lang w:val="en-US" w:eastAsia="zh-CN"/>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hint="eastAsia" w:ascii="黑体"/>
          <w:lang w:val="en-US" w:eastAsia="zh-CN"/>
        </w:rPr>
        <w:t>XX</w:t>
      </w:r>
      <w:bookmarkStart w:id="19" w:name="_GoBack"/>
      <w:bookmarkEnd w:id="19"/>
      <w:r>
        <w:rPr>
          <w:rFonts w:ascii="黑体"/>
        </w:rPr>
        <w:fldChar w:fldCharType="end"/>
      </w:r>
      <w:bookmarkEnd w:id="16"/>
      <w:r>
        <w:rPr>
          <w:rFonts w:hint="eastAsia"/>
        </w:rPr>
        <w:t>实施</w:t>
      </w:r>
    </w:p>
    <w:p w14:paraId="03A9E098">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fldChar w:fldCharType="separate"/>
      </w:r>
      <w:r>
        <w:rPr>
          <w:rFonts w:hint="eastAsia" w:hAnsi="黑体"/>
          <w:w w:val="100"/>
          <w:sz w:val="28"/>
        </w:rPr>
        <w:t>宿迁市市场监督管理局</w:t>
      </w:r>
      <w:r>
        <w:rPr>
          <w:rFonts w:hAnsi="黑体"/>
          <w:w w:val="100"/>
          <w:sz w:val="28"/>
        </w:rPr>
        <w:fldChar w:fldCharType="end"/>
      </w:r>
      <w:bookmarkEnd w:id="17"/>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36E22502">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84F7FD">
      <w:pPr>
        <w:rPr>
          <w:rFonts w:hint="eastAsia" w:ascii="Times New Roman" w:hAnsi="Times New Roman" w:eastAsia="微软雅黑"/>
          <w:color w:val="auto"/>
          <w:sz w:val="44"/>
          <w:szCs w:val="44"/>
        </w:rPr>
      </w:pPr>
    </w:p>
    <w:p w14:paraId="436AC6B0">
      <w:pPr>
        <w:jc w:val="center"/>
        <w:rPr>
          <w:rFonts w:ascii="黑体" w:hAnsi="黑体" w:eastAsia="黑体" w:cs="黑体"/>
          <w:color w:val="auto"/>
          <w:sz w:val="32"/>
          <w:szCs w:val="32"/>
        </w:rPr>
      </w:pPr>
    </w:p>
    <w:p w14:paraId="35DC8070">
      <w:pPr>
        <w:jc w:val="center"/>
        <w:rPr>
          <w:rFonts w:ascii="黑体" w:hAnsi="黑体" w:eastAsia="黑体" w:cs="黑体"/>
          <w:color w:val="auto"/>
          <w:sz w:val="32"/>
          <w:szCs w:val="32"/>
        </w:rPr>
      </w:pPr>
      <w:r>
        <w:rPr>
          <w:rFonts w:hint="eastAsia" w:ascii="黑体" w:hAnsi="黑体" w:eastAsia="黑体" w:cs="黑体"/>
          <w:color w:val="auto"/>
          <w:sz w:val="32"/>
          <w:szCs w:val="32"/>
        </w:rPr>
        <w:t>前   言</w:t>
      </w:r>
    </w:p>
    <w:p w14:paraId="7954121A">
      <w:pPr>
        <w:ind w:firstLine="640" w:firstLineChars="200"/>
        <w:jc w:val="center"/>
        <w:rPr>
          <w:rFonts w:ascii="黑体" w:hAnsi="黑体" w:eastAsia="黑体" w:cs="黑体"/>
          <w:color w:val="auto"/>
          <w:sz w:val="32"/>
          <w:szCs w:val="32"/>
        </w:rPr>
      </w:pPr>
    </w:p>
    <w:p w14:paraId="015FC7C0">
      <w:pPr>
        <w:pStyle w:val="57"/>
        <w:ind w:firstLine="420"/>
        <w:rPr>
          <w:sz w:val="21"/>
        </w:rPr>
      </w:pPr>
      <w:r>
        <w:rPr>
          <w:rFonts w:hint="eastAsia"/>
          <w:sz w:val="21"/>
        </w:rPr>
        <w:t xml:space="preserve">本文件按照GB/T </w:t>
      </w:r>
      <w:r>
        <w:rPr>
          <w:rFonts w:hint="eastAsia"/>
          <w:sz w:val="21"/>
          <w:lang w:val="en-US" w:eastAsia="zh-CN"/>
        </w:rPr>
        <w:t xml:space="preserve"> </w:t>
      </w:r>
      <w:r>
        <w:rPr>
          <w:rFonts w:hint="eastAsia"/>
          <w:sz w:val="21"/>
        </w:rPr>
        <w:t xml:space="preserve">1.1—2020《标准化工作导则 </w:t>
      </w:r>
      <w:r>
        <w:rPr>
          <w:rFonts w:hint="eastAsia"/>
          <w:sz w:val="21"/>
          <w:lang w:val="en-US" w:eastAsia="zh-CN"/>
        </w:rPr>
        <w:t xml:space="preserve"> </w:t>
      </w:r>
      <w:r>
        <w:rPr>
          <w:rFonts w:hint="eastAsia"/>
          <w:sz w:val="21"/>
        </w:rPr>
        <w:t xml:space="preserve"> 第1部分：标准化文件的结构和起草规则》的规定起草。</w:t>
      </w:r>
    </w:p>
    <w:p w14:paraId="5FD7A376">
      <w:pPr>
        <w:pStyle w:val="57"/>
        <w:spacing w:line="240" w:lineRule="auto"/>
        <w:ind w:firstLine="420"/>
        <w:rPr>
          <w:color w:val="auto"/>
        </w:rPr>
      </w:pPr>
      <w:r>
        <w:rPr>
          <w:rFonts w:hint="eastAsia"/>
          <w:color w:val="auto"/>
        </w:rPr>
        <w:t>请注意本文件的某些内容可能涉及专利。本文件的发布机构不承担识别专利的责任。</w:t>
      </w:r>
    </w:p>
    <w:p w14:paraId="63E3CD2A">
      <w:pPr>
        <w:spacing w:line="240" w:lineRule="auto"/>
        <w:ind w:firstLine="420" w:firstLineChars="200"/>
        <w:rPr>
          <w:rFonts w:hint="eastAsia" w:ascii="宋体" w:hAnsi="宋体" w:cs="宋体"/>
          <w:color w:val="auto"/>
          <w:szCs w:val="21"/>
        </w:rPr>
      </w:pPr>
      <w:r>
        <w:rPr>
          <w:rFonts w:hint="eastAsia" w:ascii="宋体" w:hAnsi="宋体" w:cs="宋体"/>
          <w:color w:val="auto"/>
          <w:szCs w:val="21"/>
        </w:rPr>
        <w:t>本文件由宿迁市宿城区医疗保障局提出。</w:t>
      </w:r>
    </w:p>
    <w:p w14:paraId="2377F5D1">
      <w:pPr>
        <w:spacing w:line="240" w:lineRule="auto"/>
        <w:ind w:firstLine="420" w:firstLineChars="200"/>
        <w:rPr>
          <w:rFonts w:ascii="Times New Roman" w:hAnsi="Times New Roman"/>
          <w:color w:val="auto"/>
          <w:szCs w:val="21"/>
        </w:rPr>
      </w:pPr>
      <w:r>
        <w:rPr>
          <w:rFonts w:hint="eastAsia" w:ascii="宋体" w:hAnsi="宋体" w:cs="宋体"/>
          <w:color w:val="auto"/>
          <w:szCs w:val="21"/>
        </w:rPr>
        <w:t>本文件由</w:t>
      </w:r>
      <w:r>
        <w:rPr>
          <w:rFonts w:hint="eastAsia" w:ascii="宋体" w:hAnsi="宋体" w:cs="宋体"/>
          <w:color w:val="auto"/>
          <w:szCs w:val="21"/>
          <w:lang w:eastAsia="zh-CN"/>
        </w:rPr>
        <w:t>宿迁市</w:t>
      </w:r>
      <w:r>
        <w:rPr>
          <w:rFonts w:hint="eastAsia" w:ascii="宋体" w:hAnsi="宋体" w:cs="宋体"/>
          <w:color w:val="auto"/>
          <w:szCs w:val="21"/>
        </w:rPr>
        <w:t>医疗保障局归口。</w:t>
      </w:r>
    </w:p>
    <w:p w14:paraId="35DC96E3">
      <w:pPr>
        <w:spacing w:line="240" w:lineRule="auto"/>
        <w:ind w:firstLine="420" w:firstLineChars="200"/>
        <w:rPr>
          <w:rFonts w:ascii="Times New Roman" w:hAnsi="Times New Roman"/>
          <w:color w:val="auto"/>
          <w:szCs w:val="21"/>
        </w:rPr>
      </w:pPr>
      <w:r>
        <w:rPr>
          <w:rFonts w:ascii="Times New Roman" w:hAnsi="Times New Roman"/>
          <w:color w:val="auto"/>
          <w:szCs w:val="21"/>
        </w:rPr>
        <w:t>本</w:t>
      </w:r>
      <w:r>
        <w:rPr>
          <w:rFonts w:hint="eastAsia" w:ascii="Times New Roman" w:hAnsi="Times New Roman"/>
          <w:color w:val="auto"/>
          <w:szCs w:val="21"/>
        </w:rPr>
        <w:t>文件</w:t>
      </w:r>
      <w:r>
        <w:rPr>
          <w:rFonts w:ascii="Times New Roman" w:hAnsi="Times New Roman"/>
          <w:color w:val="auto"/>
          <w:szCs w:val="21"/>
        </w:rPr>
        <w:t>主要起草单位：</w:t>
      </w:r>
      <w:r>
        <w:rPr>
          <w:rFonts w:hint="eastAsia" w:ascii="宋体" w:hAnsi="宋体" w:cs="宋体"/>
          <w:color w:val="auto"/>
          <w:szCs w:val="21"/>
        </w:rPr>
        <w:t>宿迁市宿城区医疗保障局</w:t>
      </w:r>
      <w:r>
        <w:rPr>
          <w:rFonts w:hint="eastAsia" w:ascii="Times New Roman" w:hAnsi="Times New Roman"/>
          <w:color w:val="auto"/>
          <w:szCs w:val="21"/>
        </w:rPr>
        <w:t>。</w:t>
      </w:r>
    </w:p>
    <w:p w14:paraId="3AD98FAA">
      <w:pPr>
        <w:spacing w:line="240" w:lineRule="auto"/>
        <w:ind w:firstLine="420" w:firstLineChars="200"/>
        <w:rPr>
          <w:rFonts w:hint="eastAsia" w:ascii="Times New Roman" w:hAnsi="Times New Roman" w:eastAsia="宋体"/>
          <w:color w:val="auto"/>
          <w:szCs w:val="21"/>
          <w:lang w:eastAsia="zh-CN"/>
        </w:rPr>
      </w:pPr>
      <w:r>
        <w:rPr>
          <w:rFonts w:ascii="Times New Roman" w:hAnsi="Times New Roman"/>
          <w:color w:val="auto"/>
          <w:szCs w:val="21"/>
        </w:rPr>
        <w:t>本</w:t>
      </w:r>
      <w:r>
        <w:rPr>
          <w:rFonts w:hint="eastAsia" w:ascii="Times New Roman" w:hAnsi="Times New Roman"/>
          <w:color w:val="auto"/>
          <w:szCs w:val="21"/>
        </w:rPr>
        <w:t>文件</w:t>
      </w:r>
      <w:r>
        <w:rPr>
          <w:rFonts w:ascii="Times New Roman" w:hAnsi="Times New Roman"/>
          <w:color w:val="auto"/>
          <w:szCs w:val="21"/>
        </w:rPr>
        <w:t>主要起草</w:t>
      </w:r>
      <w:r>
        <w:rPr>
          <w:rFonts w:hint="eastAsia" w:ascii="Times New Roman" w:hAnsi="Times New Roman"/>
          <w:color w:val="auto"/>
          <w:szCs w:val="21"/>
        </w:rPr>
        <w:t>人</w:t>
      </w:r>
      <w:r>
        <w:rPr>
          <w:rFonts w:ascii="Times New Roman" w:hAnsi="Times New Roman"/>
          <w:color w:val="auto"/>
          <w:szCs w:val="21"/>
        </w:rPr>
        <w:t>：</w:t>
      </w:r>
      <w:r>
        <w:rPr>
          <w:rFonts w:hint="eastAsia" w:ascii="Times New Roman" w:hAnsi="Times New Roman"/>
          <w:color w:val="auto"/>
          <w:szCs w:val="21"/>
        </w:rPr>
        <w:t>张黎军</w:t>
      </w:r>
      <w:r>
        <w:rPr>
          <w:rFonts w:hint="eastAsia" w:ascii="Times New Roman" w:hAnsi="Times New Roman"/>
          <w:color w:val="auto"/>
          <w:szCs w:val="21"/>
          <w:lang w:eastAsia="zh-CN"/>
        </w:rPr>
        <w:t>、</w:t>
      </w:r>
      <w:r>
        <w:rPr>
          <w:rFonts w:hint="eastAsia" w:ascii="Times New Roman" w:hAnsi="Times New Roman"/>
          <w:color w:val="auto"/>
          <w:szCs w:val="21"/>
        </w:rPr>
        <w:t>晏莉</w:t>
      </w:r>
      <w:r>
        <w:rPr>
          <w:rFonts w:hint="eastAsia" w:ascii="Times New Roman" w:hAnsi="Times New Roman"/>
          <w:color w:val="auto"/>
          <w:szCs w:val="21"/>
          <w:lang w:eastAsia="zh-CN"/>
        </w:rPr>
        <w:t>、</w:t>
      </w:r>
      <w:r>
        <w:rPr>
          <w:rFonts w:hint="eastAsia" w:ascii="Times New Roman" w:hAnsi="Times New Roman"/>
          <w:color w:val="auto"/>
          <w:szCs w:val="21"/>
        </w:rPr>
        <w:t>端木松</w:t>
      </w:r>
      <w:r>
        <w:rPr>
          <w:rFonts w:hint="eastAsia" w:ascii="Times New Roman" w:hAnsi="Times New Roman"/>
          <w:color w:val="auto"/>
          <w:szCs w:val="21"/>
          <w:lang w:eastAsia="zh-CN"/>
        </w:rPr>
        <w:t>、</w:t>
      </w:r>
      <w:r>
        <w:rPr>
          <w:rFonts w:hint="eastAsia" w:ascii="Times New Roman" w:hAnsi="Times New Roman"/>
          <w:color w:val="auto"/>
          <w:szCs w:val="21"/>
        </w:rPr>
        <w:t>朱曼玉</w:t>
      </w:r>
      <w:r>
        <w:rPr>
          <w:rFonts w:hint="eastAsia" w:ascii="Times New Roman" w:hAnsi="Times New Roman"/>
          <w:color w:val="auto"/>
          <w:szCs w:val="21"/>
          <w:lang w:eastAsia="zh-CN"/>
        </w:rPr>
        <w:t>、</w:t>
      </w:r>
      <w:r>
        <w:rPr>
          <w:rFonts w:hint="eastAsia" w:ascii="Times New Roman" w:hAnsi="Times New Roman"/>
          <w:color w:val="auto"/>
          <w:szCs w:val="21"/>
        </w:rPr>
        <w:t>史卿</w:t>
      </w:r>
      <w:r>
        <w:rPr>
          <w:rFonts w:hint="eastAsia" w:ascii="Times New Roman" w:hAnsi="Times New Roman"/>
          <w:color w:val="auto"/>
          <w:szCs w:val="21"/>
          <w:lang w:eastAsia="zh-CN"/>
        </w:rPr>
        <w:t>、</w:t>
      </w:r>
      <w:r>
        <w:rPr>
          <w:rFonts w:hint="eastAsia" w:ascii="Times New Roman" w:hAnsi="Times New Roman"/>
          <w:color w:val="auto"/>
          <w:szCs w:val="21"/>
        </w:rPr>
        <w:t>曹小荣</w:t>
      </w:r>
      <w:r>
        <w:rPr>
          <w:rFonts w:hint="eastAsia" w:ascii="Times New Roman" w:hAnsi="Times New Roman"/>
          <w:color w:val="auto"/>
          <w:szCs w:val="21"/>
          <w:lang w:eastAsia="zh-CN"/>
        </w:rPr>
        <w:t>。</w:t>
      </w:r>
    </w:p>
    <w:p w14:paraId="02FF73FF">
      <w:pPr>
        <w:ind w:firstLine="420" w:firstLineChars="200"/>
        <w:rPr>
          <w:rFonts w:ascii="Times New Roman" w:hAnsi="Times New Roman"/>
          <w:color w:val="auto"/>
          <w:szCs w:val="21"/>
        </w:rPr>
      </w:pPr>
      <w:r>
        <w:rPr>
          <w:rFonts w:ascii="Times New Roman" w:hAnsi="Times New Roman"/>
          <w:color w:val="auto"/>
          <w:szCs w:val="21"/>
        </w:rPr>
        <w:t>本</w:t>
      </w:r>
      <w:r>
        <w:rPr>
          <w:rFonts w:hint="eastAsia" w:ascii="Times New Roman" w:hAnsi="Times New Roman"/>
          <w:color w:val="auto"/>
          <w:szCs w:val="21"/>
        </w:rPr>
        <w:t>文件</w:t>
      </w:r>
      <w:r>
        <w:rPr>
          <w:rFonts w:ascii="Times New Roman" w:hAnsi="Times New Roman"/>
          <w:color w:val="auto"/>
          <w:szCs w:val="21"/>
        </w:rPr>
        <w:t>为首次发布。</w:t>
      </w:r>
    </w:p>
    <w:p w14:paraId="57B16957">
      <w:pPr>
        <w:pStyle w:val="232"/>
        <w:rPr>
          <w:rFonts w:hint="eastAsia" w:hAnsi="黑体" w:cs="黑体"/>
          <w:color w:val="auto"/>
          <w:szCs w:val="32"/>
        </w:rPr>
        <w:sectPr>
          <w:headerReference r:id="rId12" w:type="first"/>
          <w:headerReference r:id="rId11" w:type="default"/>
          <w:footerReference r:id="rId13" w:type="default"/>
          <w:footerReference r:id="rId14" w:type="even"/>
          <w:pgSz w:w="11906" w:h="16838"/>
          <w:pgMar w:top="1928" w:right="1134" w:bottom="1134" w:left="1134" w:header="851" w:footer="992" w:gutter="0"/>
          <w:pgNumType w:fmt="upperRoman" w:start="1"/>
          <w:cols w:space="720" w:num="1"/>
          <w:docGrid w:type="lines" w:linePitch="312" w:charSpace="0"/>
        </w:sectPr>
      </w:pPr>
    </w:p>
    <w:p w14:paraId="4653863C">
      <w:pPr>
        <w:pStyle w:val="232"/>
        <w:rPr>
          <w:rFonts w:hAnsi="黑体" w:cs="黑体"/>
          <w:color w:val="auto"/>
          <w:szCs w:val="32"/>
        </w:rPr>
      </w:pPr>
      <w:r>
        <w:rPr>
          <w:rFonts w:hint="eastAsia" w:hAnsi="黑体" w:cs="黑体"/>
          <w:color w:val="auto"/>
          <w:szCs w:val="32"/>
        </w:rPr>
        <w:t>乡镇医保公共服务规范（</w:t>
      </w:r>
      <w:r>
        <w:rPr>
          <w:rFonts w:hint="eastAsia" w:hAnsi="黑体" w:cs="黑体"/>
          <w:color w:val="auto"/>
          <w:szCs w:val="32"/>
          <w:lang w:eastAsia="zh-CN"/>
        </w:rPr>
        <w:t>报批稿</w:t>
      </w:r>
      <w:r>
        <w:rPr>
          <w:rFonts w:hint="eastAsia" w:hAnsi="黑体" w:cs="黑体"/>
          <w:color w:val="auto"/>
          <w:szCs w:val="32"/>
        </w:rPr>
        <w:t>）</w:t>
      </w:r>
    </w:p>
    <w:p w14:paraId="220F150E">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rPr>
      </w:pPr>
      <w:r>
        <w:rPr>
          <w:rFonts w:hint="eastAsia" w:ascii="黑体" w:hAnsi="黑体" w:eastAsia="黑体"/>
          <w:b w:val="0"/>
          <w:bCs w:val="0"/>
          <w:color w:val="auto"/>
          <w:sz w:val="21"/>
          <w:szCs w:val="21"/>
        </w:rPr>
        <w:t>1</w:t>
      </w:r>
      <w:r>
        <w:rPr>
          <w:rFonts w:ascii="黑体" w:hAnsi="黑体" w:eastAsia="黑体"/>
          <w:b w:val="0"/>
          <w:bCs w:val="0"/>
          <w:color w:val="auto"/>
          <w:sz w:val="21"/>
          <w:szCs w:val="21"/>
        </w:rPr>
        <w:t xml:space="preserve">  范围</w:t>
      </w:r>
    </w:p>
    <w:p w14:paraId="19B4927B">
      <w:pPr>
        <w:spacing w:line="240" w:lineRule="auto"/>
        <w:ind w:firstLine="420" w:firstLineChars="200"/>
        <w:jc w:val="left"/>
        <w:rPr>
          <w:rFonts w:ascii="宋体" w:hAnsi="宋体"/>
          <w:color w:val="auto"/>
        </w:rPr>
      </w:pPr>
      <w:r>
        <w:rPr>
          <w:rFonts w:ascii="宋体" w:hAnsi="宋体"/>
          <w:color w:val="auto"/>
        </w:rPr>
        <w:t>本</w:t>
      </w:r>
      <w:r>
        <w:rPr>
          <w:rFonts w:hint="eastAsia" w:ascii="宋体" w:hAnsi="宋体"/>
          <w:color w:val="auto"/>
          <w:lang w:eastAsia="zh-CN"/>
        </w:rPr>
        <w:t>文件</w:t>
      </w:r>
      <w:r>
        <w:rPr>
          <w:rFonts w:ascii="宋体" w:hAnsi="宋体"/>
          <w:color w:val="auto"/>
        </w:rPr>
        <w:t>规定了</w:t>
      </w:r>
      <w:r>
        <w:rPr>
          <w:rFonts w:hint="eastAsia" w:ascii="宋体" w:hAnsi="宋体"/>
          <w:color w:val="auto"/>
          <w:lang w:val="en-US" w:eastAsia="zh-CN"/>
        </w:rPr>
        <w:t>宿迁市乡镇</w:t>
      </w:r>
      <w:r>
        <w:rPr>
          <w:rFonts w:ascii="宋体" w:hAnsi="宋体"/>
          <w:color w:val="auto"/>
        </w:rPr>
        <w:t>医保公共服务</w:t>
      </w:r>
      <w:r>
        <w:rPr>
          <w:rFonts w:hint="eastAsia" w:ascii="宋体" w:hAnsi="宋体"/>
          <w:color w:val="auto"/>
          <w:lang w:eastAsia="zh-CN"/>
        </w:rPr>
        <w:t>的术语和定义、</w:t>
      </w:r>
      <w:r>
        <w:rPr>
          <w:rFonts w:ascii="宋体" w:hAnsi="宋体"/>
          <w:color w:val="auto"/>
        </w:rPr>
        <w:t>场所建设、服务事项、</w:t>
      </w:r>
      <w:r>
        <w:rPr>
          <w:rFonts w:hint="eastAsia" w:ascii="宋体" w:hAnsi="宋体"/>
          <w:color w:val="auto"/>
          <w:lang w:eastAsia="zh-CN"/>
        </w:rPr>
        <w:t>队伍建设</w:t>
      </w:r>
      <w:r>
        <w:rPr>
          <w:rFonts w:ascii="宋体" w:hAnsi="宋体"/>
          <w:color w:val="auto"/>
        </w:rPr>
        <w:t>、</w:t>
      </w:r>
      <w:r>
        <w:rPr>
          <w:rFonts w:hint="eastAsia" w:ascii="宋体" w:hAnsi="宋体"/>
          <w:color w:val="auto"/>
          <w:lang w:eastAsia="zh-CN"/>
        </w:rPr>
        <w:t>制度规范、监督评价和投诉处置、</w:t>
      </w:r>
      <w:r>
        <w:rPr>
          <w:rFonts w:ascii="宋体" w:hAnsi="宋体"/>
          <w:color w:val="auto"/>
        </w:rPr>
        <w:t>经费保障</w:t>
      </w:r>
      <w:r>
        <w:rPr>
          <w:rFonts w:hint="eastAsia" w:ascii="宋体" w:hAnsi="宋体"/>
          <w:color w:val="auto"/>
          <w:lang w:eastAsia="zh-CN"/>
        </w:rPr>
        <w:t>的要求</w:t>
      </w:r>
      <w:r>
        <w:rPr>
          <w:rFonts w:ascii="宋体" w:hAnsi="宋体"/>
          <w:color w:val="auto"/>
        </w:rPr>
        <w:t>。</w:t>
      </w:r>
    </w:p>
    <w:p w14:paraId="3F4FD283">
      <w:pPr>
        <w:spacing w:line="240" w:lineRule="auto"/>
        <w:ind w:firstLine="420" w:firstLineChars="200"/>
        <w:jc w:val="left"/>
        <w:rPr>
          <w:rFonts w:hint="eastAsia" w:ascii="宋体" w:hAnsi="宋体"/>
          <w:color w:val="auto"/>
        </w:rPr>
      </w:pPr>
      <w:r>
        <w:rPr>
          <w:rFonts w:ascii="宋体" w:hAnsi="宋体"/>
          <w:color w:val="auto"/>
        </w:rPr>
        <w:t>本</w:t>
      </w:r>
      <w:r>
        <w:rPr>
          <w:rFonts w:hint="eastAsia" w:ascii="宋体" w:hAnsi="宋体"/>
          <w:color w:val="auto"/>
          <w:lang w:eastAsia="zh-CN"/>
        </w:rPr>
        <w:t>文件</w:t>
      </w:r>
      <w:r>
        <w:rPr>
          <w:rFonts w:ascii="宋体" w:hAnsi="宋体"/>
          <w:color w:val="auto"/>
        </w:rPr>
        <w:t>适用于</w:t>
      </w:r>
      <w:r>
        <w:rPr>
          <w:rFonts w:hint="eastAsia" w:ascii="宋体" w:hAnsi="宋体"/>
          <w:color w:val="auto"/>
          <w:lang w:val="en-US" w:eastAsia="zh-CN"/>
        </w:rPr>
        <w:t>宿迁市乡镇</w:t>
      </w:r>
      <w:r>
        <w:rPr>
          <w:rFonts w:ascii="宋体" w:hAnsi="宋体"/>
          <w:color w:val="auto"/>
        </w:rPr>
        <w:t>医保公共服务，医保公共服务按其规定并结合本</w:t>
      </w:r>
      <w:r>
        <w:rPr>
          <w:rFonts w:hint="eastAsia" w:ascii="宋体" w:hAnsi="宋体"/>
          <w:color w:val="auto"/>
          <w:lang w:eastAsia="zh-CN"/>
        </w:rPr>
        <w:t>文件</w:t>
      </w:r>
      <w:r>
        <w:rPr>
          <w:rFonts w:ascii="宋体" w:hAnsi="宋体"/>
          <w:color w:val="auto"/>
        </w:rPr>
        <w:t>执行。</w:t>
      </w:r>
    </w:p>
    <w:p w14:paraId="3EABFA38">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ascii="黑体" w:hAnsi="黑体" w:eastAsia="黑体"/>
          <w:b w:val="0"/>
          <w:bCs w:val="0"/>
          <w:color w:val="auto"/>
          <w:sz w:val="21"/>
          <w:szCs w:val="21"/>
        </w:rPr>
      </w:pPr>
      <w:r>
        <w:rPr>
          <w:rFonts w:hint="eastAsia" w:ascii="黑体" w:hAnsi="黑体" w:eastAsia="黑体"/>
          <w:b w:val="0"/>
          <w:bCs w:val="0"/>
          <w:color w:val="auto"/>
          <w:sz w:val="21"/>
          <w:szCs w:val="21"/>
        </w:rPr>
        <w:t>2</w:t>
      </w:r>
      <w:r>
        <w:rPr>
          <w:rFonts w:ascii="黑体" w:hAnsi="黑体" w:eastAsia="黑体"/>
          <w:b w:val="0"/>
          <w:bCs w:val="0"/>
          <w:color w:val="auto"/>
          <w:sz w:val="21"/>
          <w:szCs w:val="21"/>
        </w:rPr>
        <w:t xml:space="preserve">  规范性引用文件</w:t>
      </w:r>
    </w:p>
    <w:p w14:paraId="208C682A">
      <w:pPr>
        <w:ind w:firstLine="420" w:firstLineChars="200"/>
        <w:rPr>
          <w:rFonts w:hint="eastAsia" w:ascii="宋体" w:hAnsi="宋体" w:eastAsia="宋体" w:cs="宋体"/>
          <w:color w:val="auto"/>
          <w:lang w:eastAsia="zh-CN"/>
        </w:rPr>
      </w:pPr>
      <w:r>
        <w:rPr>
          <w:rFonts w:hint="eastAsia" w:ascii="宋体" w:hAnsi="宋体" w:eastAsia="宋体" w:cs="宋体"/>
          <w:color w:val="auto"/>
          <w:sz w:val="21"/>
          <w:szCs w:val="21"/>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78C7A4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olor w:val="auto"/>
        </w:rPr>
      </w:pPr>
      <w:r>
        <w:rPr>
          <w:rFonts w:hint="eastAsia" w:ascii="宋体" w:hAnsi="宋体"/>
          <w:color w:val="auto"/>
        </w:rPr>
        <w:t>GB/T 17242  投诉处理指南</w:t>
      </w:r>
    </w:p>
    <w:p w14:paraId="2ECDF3FB">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宋体" w:hAnsi="宋体"/>
          <w:color w:val="auto"/>
        </w:rPr>
      </w:pPr>
      <w:r>
        <w:rPr>
          <w:rFonts w:ascii="宋体" w:hAnsi="宋体"/>
          <w:color w:val="auto"/>
        </w:rPr>
        <w:t>GB/T 27768  社会保险服务 总则</w:t>
      </w:r>
    </w:p>
    <w:p w14:paraId="62410D3A">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rPr>
      </w:pPr>
      <w:r>
        <w:rPr>
          <w:rFonts w:hint="eastAsia" w:ascii="宋体" w:hAnsi="宋体" w:eastAsia="宋体" w:cs="宋体"/>
          <w:color w:val="auto"/>
        </w:rPr>
        <w:t>GB/T 36114  政务服务中心进驻事项服务指南编制规范</w:t>
      </w:r>
    </w:p>
    <w:p w14:paraId="474E30C9">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eastAsia="zh-CN"/>
        </w:rPr>
      </w:pPr>
      <w:r>
        <w:rPr>
          <w:rFonts w:hint="eastAsia" w:ascii="黑体" w:hAnsi="黑体" w:eastAsia="黑体"/>
          <w:b w:val="0"/>
          <w:bCs w:val="0"/>
          <w:color w:val="auto"/>
          <w:sz w:val="21"/>
          <w:szCs w:val="21"/>
        </w:rPr>
        <w:t>3</w:t>
      </w:r>
      <w:r>
        <w:rPr>
          <w:rFonts w:ascii="黑体" w:hAnsi="黑体" w:eastAsia="黑体"/>
          <w:b w:val="0"/>
          <w:bCs w:val="0"/>
          <w:color w:val="auto"/>
          <w:sz w:val="21"/>
          <w:szCs w:val="21"/>
        </w:rPr>
        <w:t xml:space="preserve">  </w:t>
      </w:r>
      <w:r>
        <w:rPr>
          <w:rFonts w:hint="eastAsia" w:ascii="黑体" w:hAnsi="黑体" w:eastAsia="黑体"/>
          <w:b w:val="0"/>
          <w:bCs w:val="0"/>
          <w:color w:val="auto"/>
          <w:sz w:val="21"/>
          <w:szCs w:val="21"/>
          <w:lang w:eastAsia="zh-CN"/>
        </w:rPr>
        <w:t>术语和定义</w:t>
      </w:r>
    </w:p>
    <w:p w14:paraId="19344C05">
      <w:pPr>
        <w:ind w:firstLine="420" w:firstLineChars="200"/>
        <w:rPr>
          <w:rFonts w:hint="eastAsia" w:ascii="宋体" w:hAnsi="宋体" w:eastAsia="宋体" w:cs="宋体"/>
          <w:b w:val="0"/>
          <w:bCs w:val="0"/>
          <w:color w:val="auto"/>
          <w:sz w:val="21"/>
          <w:szCs w:val="21"/>
          <w:lang w:eastAsia="zh-CN"/>
        </w:rPr>
      </w:pPr>
      <w:r>
        <w:rPr>
          <w:rFonts w:hint="eastAsia" w:ascii="宋体" w:hAnsi="宋体"/>
          <w:color w:val="auto"/>
        </w:rPr>
        <w:t>GB/T 17242</w:t>
      </w:r>
      <w:r>
        <w:rPr>
          <w:rFonts w:hint="eastAsia" w:ascii="宋体" w:hAnsi="宋体"/>
          <w:color w:val="auto"/>
          <w:lang w:eastAsia="zh-CN"/>
        </w:rPr>
        <w:t>、</w:t>
      </w:r>
      <w:r>
        <w:rPr>
          <w:rFonts w:ascii="宋体" w:hAnsi="宋体"/>
          <w:color w:val="auto"/>
        </w:rPr>
        <w:t>GB/T 27768</w:t>
      </w:r>
      <w:r>
        <w:rPr>
          <w:rFonts w:hint="eastAsia" w:ascii="宋体" w:hAnsi="宋体"/>
          <w:color w:val="auto"/>
          <w:lang w:eastAsia="zh-CN"/>
        </w:rPr>
        <w:t>、</w:t>
      </w:r>
      <w:r>
        <w:rPr>
          <w:rFonts w:hint="eastAsia" w:ascii="宋体" w:hAnsi="宋体"/>
          <w:color w:val="auto"/>
        </w:rPr>
        <w:t>GB/T 36114</w:t>
      </w:r>
      <w:r>
        <w:rPr>
          <w:rFonts w:hint="eastAsia" w:ascii="宋体" w:hAnsi="宋体"/>
          <w:color w:val="auto"/>
          <w:lang w:eastAsia="zh-CN"/>
        </w:rPr>
        <w:t>界定的以及</w:t>
      </w:r>
      <w:r>
        <w:rPr>
          <w:rFonts w:hint="eastAsia" w:ascii="宋体" w:hAnsi="宋体" w:eastAsia="宋体" w:cs="宋体"/>
          <w:b w:val="0"/>
          <w:bCs w:val="0"/>
          <w:color w:val="auto"/>
          <w:sz w:val="21"/>
          <w:szCs w:val="21"/>
          <w:lang w:eastAsia="zh-CN"/>
        </w:rPr>
        <w:t>下列术语和定义适用于本文件。</w:t>
      </w:r>
    </w:p>
    <w:p w14:paraId="409198BA">
      <w:pPr>
        <w:rPr>
          <w:rFonts w:hint="default"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3.1</w:t>
      </w:r>
    </w:p>
    <w:p w14:paraId="0B75F88C">
      <w:pPr>
        <w:ind w:firstLine="420"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投诉 complaint</w:t>
      </w:r>
    </w:p>
    <w:p w14:paraId="1283127A">
      <w:pPr>
        <w:ind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消费者对产品质量向组织提出不满意的表示。</w:t>
      </w:r>
    </w:p>
    <w:p w14:paraId="43C2D32C">
      <w:pPr>
        <w:ind w:firstLine="420" w:firstLineChars="200"/>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[来源：</w:t>
      </w:r>
      <w:r>
        <w:rPr>
          <w:rFonts w:hint="eastAsia" w:ascii="宋体" w:hAnsi="宋体"/>
          <w:color w:val="auto"/>
        </w:rPr>
        <w:t>GB/T 17242</w:t>
      </w:r>
      <w:r>
        <w:rPr>
          <w:rFonts w:hint="eastAsia" w:ascii="宋体" w:hAnsi="宋体"/>
          <w:color w:val="auto"/>
          <w:lang w:val="en-US" w:eastAsia="zh-CN"/>
        </w:rPr>
        <w:t>-1998,3.4</w:t>
      </w:r>
      <w:r>
        <w:rPr>
          <w:rFonts w:hint="eastAsia" w:ascii="宋体" w:hAnsi="宋体" w:eastAsia="宋体" w:cs="宋体"/>
          <w:b w:val="0"/>
          <w:bCs w:val="0"/>
          <w:color w:val="auto"/>
          <w:sz w:val="21"/>
          <w:szCs w:val="21"/>
          <w:lang w:val="en-US" w:eastAsia="zh-CN"/>
        </w:rPr>
        <w:t>]</w:t>
      </w:r>
    </w:p>
    <w:p w14:paraId="56C1AE5B">
      <w:pPr>
        <w:rPr>
          <w:rFonts w:hint="default"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3.2</w:t>
      </w:r>
    </w:p>
    <w:p w14:paraId="49E0FA11">
      <w:pPr>
        <w:ind w:firstLine="420" w:firstLineChars="200"/>
        <w:rPr>
          <w:rFonts w:hint="eastAsia" w:ascii="宋体" w:hAnsi="宋体" w:eastAsia="宋体" w:cs="宋体"/>
          <w:b w:val="0"/>
          <w:bCs w:val="0"/>
          <w:color w:val="auto"/>
          <w:sz w:val="21"/>
          <w:szCs w:val="21"/>
          <w:lang w:val="en-US" w:eastAsia="zh-CN"/>
        </w:rPr>
      </w:pPr>
      <w:r>
        <w:rPr>
          <w:rFonts w:hint="eastAsia" w:ascii="黑体" w:hAnsi="黑体" w:eastAsia="黑体" w:cs="黑体"/>
          <w:color w:val="auto"/>
          <w:szCs w:val="21"/>
        </w:rPr>
        <w:t>医保公共服务场所</w:t>
      </w:r>
      <w:r>
        <w:rPr>
          <w:rFonts w:hint="eastAsia" w:ascii="黑体" w:hAnsi="黑体" w:eastAsia="黑体" w:cs="黑体"/>
          <w:color w:val="auto"/>
          <w:szCs w:val="21"/>
          <w:lang w:val="en-US" w:eastAsia="zh-CN"/>
        </w:rPr>
        <w:t xml:space="preserve"> public service venues for medical insurance</w:t>
      </w:r>
    </w:p>
    <w:p w14:paraId="64D0D204">
      <w:pPr>
        <w:keepNext w:val="0"/>
        <w:keepLines w:val="0"/>
        <w:pageBreakBefore w:val="0"/>
        <w:widowControl w:val="0"/>
        <w:kinsoku/>
        <w:wordWrap/>
        <w:overflowPunct/>
        <w:topLinePunct w:val="0"/>
        <w:autoSpaceDE/>
        <w:autoSpaceDN/>
        <w:bidi w:val="0"/>
        <w:adjustRightInd/>
        <w:snapToGrid/>
        <w:spacing w:line="240" w:lineRule="exact"/>
        <w:ind w:firstLine="420" w:firstLineChars="200"/>
        <w:jc w:val="both"/>
        <w:textAlignment w:val="auto"/>
        <w:rPr>
          <w:rFonts w:hint="eastAsia" w:ascii="宋体" w:hAnsi="宋体" w:eastAsia="宋体" w:cs="宋体"/>
          <w:b w:val="0"/>
          <w:bCs w:val="0"/>
          <w:color w:val="FF0000"/>
          <w:sz w:val="21"/>
          <w:szCs w:val="21"/>
          <w:lang w:val="en-US" w:eastAsia="zh-CN"/>
        </w:rPr>
      </w:pPr>
      <w:r>
        <w:rPr>
          <w:rFonts w:hint="eastAsia" w:ascii="Times New Roman" w:hAnsi="Times New Roman" w:eastAsia="宋体" w:cs="Times New Roman"/>
          <w:color w:val="FF0000"/>
          <w:vertAlign w:val="baseline"/>
          <w:lang w:val="en-US" w:eastAsia="zh-CN"/>
        </w:rPr>
        <w:t>在乡镇政务服务中心设立的，覆盖城乡、功能设施齐全、医保窗口相对独立、服务便捷优质、医保标识醒目的医保基层公共服务站点</w:t>
      </w:r>
      <w:r>
        <w:rPr>
          <w:rFonts w:hint="eastAsia" w:ascii="宋体" w:hAnsi="宋体" w:eastAsia="宋体" w:cs="宋体"/>
          <w:b w:val="0"/>
          <w:bCs w:val="0"/>
          <w:color w:val="FF0000"/>
          <w:sz w:val="21"/>
          <w:szCs w:val="21"/>
          <w:lang w:val="en-US" w:eastAsia="zh-CN"/>
        </w:rPr>
        <w:t>。</w:t>
      </w:r>
    </w:p>
    <w:p w14:paraId="396DE624">
      <w:pPr>
        <w:rPr>
          <w:rFonts w:hint="default"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3.3</w:t>
      </w:r>
    </w:p>
    <w:p w14:paraId="0285837D">
      <w:pPr>
        <w:ind w:firstLine="420" w:firstLineChars="200"/>
        <w:rPr>
          <w:rFonts w:hint="eastAsia" w:ascii="黑体" w:hAnsi="黑体" w:eastAsia="黑体" w:cs="黑体"/>
          <w:b w:val="0"/>
          <w:bCs w:val="0"/>
          <w:color w:val="auto"/>
          <w:sz w:val="21"/>
          <w:szCs w:val="21"/>
          <w:lang w:val="en-US" w:eastAsia="zh-CN"/>
        </w:rPr>
      </w:pPr>
      <w:r>
        <w:rPr>
          <w:rFonts w:hint="eastAsia" w:ascii="黑体" w:hAnsi="黑体" w:eastAsia="黑体" w:cs="黑体"/>
          <w:b w:val="0"/>
          <w:bCs w:val="0"/>
          <w:color w:val="auto"/>
          <w:sz w:val="21"/>
          <w:szCs w:val="21"/>
          <w:lang w:val="en-US" w:eastAsia="zh-CN"/>
        </w:rPr>
        <w:t xml:space="preserve">事项 item </w:t>
      </w:r>
    </w:p>
    <w:p w14:paraId="583FE878">
      <w:pPr>
        <w:ind w:firstLine="420" w:firstLineChars="200"/>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进驻医保公共服务场所（3.2）办理的相关服务项目。</w:t>
      </w:r>
    </w:p>
    <w:p w14:paraId="3CE0D408">
      <w:pPr>
        <w:ind w:firstLine="420" w:firstLineChars="200"/>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[来源：</w:t>
      </w:r>
      <w:r>
        <w:rPr>
          <w:rFonts w:hint="eastAsia" w:ascii="宋体" w:hAnsi="宋体"/>
          <w:color w:val="auto"/>
        </w:rPr>
        <w:t>GB/T 36114</w:t>
      </w:r>
      <w:r>
        <w:rPr>
          <w:rFonts w:hint="eastAsia" w:ascii="宋体" w:hAnsi="宋体"/>
          <w:color w:val="auto"/>
          <w:lang w:eastAsia="zh-CN"/>
        </w:rPr>
        <w:t>—</w:t>
      </w:r>
      <w:r>
        <w:rPr>
          <w:rFonts w:hint="eastAsia" w:ascii="宋体" w:hAnsi="宋体"/>
          <w:color w:val="auto"/>
          <w:lang w:val="en-US" w:eastAsia="zh-CN"/>
        </w:rPr>
        <w:t>2018,3.3，有修改</w:t>
      </w:r>
      <w:r>
        <w:rPr>
          <w:rFonts w:hint="eastAsia" w:ascii="宋体" w:hAnsi="宋体" w:eastAsia="宋体" w:cs="宋体"/>
          <w:b w:val="0"/>
          <w:bCs w:val="0"/>
          <w:color w:val="auto"/>
          <w:sz w:val="21"/>
          <w:szCs w:val="21"/>
          <w:lang w:val="en-US" w:eastAsia="zh-CN"/>
        </w:rPr>
        <w:t>]</w:t>
      </w:r>
    </w:p>
    <w:p w14:paraId="2425ABB6">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val="en-US" w:eastAsia="zh-CN"/>
        </w:rPr>
      </w:pPr>
      <w:r>
        <w:rPr>
          <w:rFonts w:hint="eastAsia" w:ascii="黑体" w:hAnsi="黑体" w:eastAsia="黑体"/>
          <w:b w:val="0"/>
          <w:bCs w:val="0"/>
          <w:color w:val="auto"/>
          <w:sz w:val="21"/>
          <w:szCs w:val="21"/>
          <w:lang w:val="en-US" w:eastAsia="zh-CN"/>
        </w:rPr>
        <w:t xml:space="preserve">4  </w:t>
      </w:r>
      <w:r>
        <w:rPr>
          <w:rFonts w:ascii="黑体" w:hAnsi="黑体" w:eastAsia="黑体"/>
          <w:b w:val="0"/>
          <w:bCs w:val="0"/>
          <w:color w:val="auto"/>
          <w:sz w:val="21"/>
          <w:szCs w:val="21"/>
        </w:rPr>
        <w:t>场所建设</w:t>
      </w:r>
    </w:p>
    <w:p w14:paraId="0DF00384">
      <w:pPr>
        <w:keepNext w:val="0"/>
        <w:keepLines w:val="0"/>
        <w:pageBreakBefore w:val="0"/>
        <w:widowControl w:val="0"/>
        <w:kinsoku/>
        <w:wordWrap/>
        <w:overflowPunct/>
        <w:topLinePunct w:val="0"/>
        <w:autoSpaceDE/>
        <w:autoSpaceDN/>
        <w:bidi w:val="0"/>
        <w:adjustRightInd/>
        <w:snapToGrid/>
        <w:spacing w:before="157" w:beforeLines="50" w:after="157" w:afterLines="50"/>
        <w:textAlignment w:val="auto"/>
        <w:rPr>
          <w:rFonts w:hint="eastAsia" w:ascii="黑体" w:hAnsi="黑体" w:eastAsia="黑体"/>
          <w:color w:val="auto"/>
          <w:szCs w:val="21"/>
        </w:rPr>
      </w:pPr>
      <w:bookmarkStart w:id="18" w:name="_Hlk150429896"/>
      <w:r>
        <w:rPr>
          <w:rFonts w:hint="eastAsia" w:ascii="黑体" w:hAnsi="黑体" w:eastAsia="黑体"/>
          <w:color w:val="auto"/>
          <w:szCs w:val="21"/>
          <w:lang w:val="en-US" w:eastAsia="zh-CN"/>
        </w:rPr>
        <w:t>4</w:t>
      </w:r>
      <w:r>
        <w:rPr>
          <w:rFonts w:ascii="黑体" w:hAnsi="黑体" w:eastAsia="黑体"/>
          <w:color w:val="auto"/>
          <w:szCs w:val="21"/>
        </w:rPr>
        <w:t>.1</w:t>
      </w:r>
      <w:r>
        <w:rPr>
          <w:rFonts w:hint="eastAsia" w:ascii="黑体" w:hAnsi="黑体" w:eastAsia="黑体"/>
          <w:color w:val="auto"/>
          <w:szCs w:val="21"/>
          <w:lang w:val="en-US" w:eastAsia="zh-CN"/>
        </w:rPr>
        <w:t xml:space="preserve"> </w:t>
      </w:r>
      <w:r>
        <w:rPr>
          <w:rFonts w:ascii="黑体" w:hAnsi="黑体" w:eastAsia="黑体"/>
          <w:color w:val="auto"/>
          <w:szCs w:val="21"/>
        </w:rPr>
        <w:t>选址及规模</w:t>
      </w:r>
    </w:p>
    <w:p w14:paraId="043BC376">
      <w:pPr>
        <w:spacing w:line="240" w:lineRule="auto"/>
        <w:ind w:firstLine="420" w:firstLineChars="200"/>
        <w:jc w:val="left"/>
        <w:rPr>
          <w:rFonts w:hint="eastAsia" w:ascii="宋体" w:hAnsi="宋体"/>
          <w:color w:val="auto"/>
        </w:rPr>
      </w:pPr>
      <w:r>
        <w:rPr>
          <w:rFonts w:ascii="宋体" w:hAnsi="宋体"/>
          <w:color w:val="auto"/>
        </w:rPr>
        <w:t>医保公共服务场所的</w:t>
      </w:r>
      <w:r>
        <w:rPr>
          <w:rFonts w:hint="eastAsia" w:ascii="宋体" w:hAnsi="宋体"/>
          <w:color w:val="auto"/>
          <w:lang w:val="en-US" w:eastAsia="zh-CN"/>
        </w:rPr>
        <w:t>选址</w:t>
      </w:r>
      <w:r>
        <w:rPr>
          <w:rFonts w:ascii="宋体" w:hAnsi="宋体"/>
          <w:color w:val="auto"/>
        </w:rPr>
        <w:t>应符合镇区发展规划要求，宜选择在交通便捷、公共设施较完善的</w:t>
      </w:r>
      <w:r>
        <w:rPr>
          <w:rFonts w:hint="eastAsia" w:ascii="宋体" w:hAnsi="宋体"/>
          <w:color w:val="auto"/>
          <w:lang w:val="en-US" w:eastAsia="zh-CN"/>
        </w:rPr>
        <w:t>区域</w:t>
      </w:r>
      <w:r>
        <w:rPr>
          <w:rFonts w:ascii="宋体" w:hAnsi="宋体"/>
          <w:color w:val="auto"/>
        </w:rPr>
        <w:t>。</w:t>
      </w:r>
      <w:r>
        <w:rPr>
          <w:rFonts w:hint="eastAsia" w:ascii="宋体" w:hAnsi="宋体"/>
          <w:color w:val="auto"/>
          <w:lang w:val="en-US" w:eastAsia="zh-CN"/>
        </w:rPr>
        <w:t>其中</w:t>
      </w:r>
      <w:r>
        <w:rPr>
          <w:rFonts w:ascii="宋体" w:hAnsi="宋体"/>
          <w:color w:val="auto"/>
        </w:rPr>
        <w:t>服务群众场所面积原则上不少于80</w:t>
      </w:r>
      <w:r>
        <w:rPr>
          <w:rFonts w:hint="eastAsia" w:ascii="宋体" w:hAnsi="宋体"/>
          <w:color w:val="auto"/>
          <w:lang w:val="en-US" w:eastAsia="zh-CN"/>
        </w:rPr>
        <w:t>m</w:t>
      </w:r>
      <w:r>
        <w:rPr>
          <w:rFonts w:hint="eastAsia" w:ascii="宋体" w:hAnsi="宋体"/>
          <w:color w:val="auto"/>
          <w:vertAlign w:val="superscript"/>
          <w:lang w:val="en-US" w:eastAsia="zh-CN"/>
        </w:rPr>
        <w:t>2</w:t>
      </w:r>
      <w:r>
        <w:rPr>
          <w:rFonts w:ascii="宋体" w:hAnsi="宋体"/>
          <w:color w:val="auto"/>
        </w:rPr>
        <w:t>。</w:t>
      </w:r>
    </w:p>
    <w:p w14:paraId="38BB439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olor w:val="auto"/>
          <w:szCs w:val="21"/>
          <w:lang w:eastAsia="zh-CN"/>
        </w:rPr>
      </w:pPr>
      <w:r>
        <w:rPr>
          <w:rFonts w:hint="eastAsia" w:ascii="黑体" w:hAnsi="黑体" w:eastAsia="黑体"/>
          <w:color w:val="auto"/>
          <w:szCs w:val="21"/>
          <w:lang w:val="en-US" w:eastAsia="zh-CN"/>
        </w:rPr>
        <w:t>4</w:t>
      </w:r>
      <w:r>
        <w:rPr>
          <w:rFonts w:ascii="黑体" w:hAnsi="黑体" w:eastAsia="黑体"/>
          <w:color w:val="auto"/>
          <w:szCs w:val="21"/>
        </w:rPr>
        <w:t>.2</w:t>
      </w:r>
      <w:r>
        <w:rPr>
          <w:rFonts w:hint="eastAsia" w:ascii="黑体" w:hAnsi="黑体" w:eastAsia="黑体"/>
          <w:color w:val="auto"/>
          <w:szCs w:val="21"/>
          <w:lang w:val="en-US" w:eastAsia="zh-CN"/>
        </w:rPr>
        <w:t xml:space="preserve"> </w:t>
      </w:r>
      <w:r>
        <w:rPr>
          <w:rFonts w:ascii="黑体" w:hAnsi="黑体" w:eastAsia="黑体"/>
          <w:color w:val="auto"/>
          <w:szCs w:val="21"/>
        </w:rPr>
        <w:t>功能区</w:t>
      </w:r>
      <w:r>
        <w:rPr>
          <w:rFonts w:hint="eastAsia" w:ascii="黑体" w:hAnsi="黑体" w:eastAsia="黑体"/>
          <w:color w:val="auto"/>
          <w:szCs w:val="21"/>
          <w:lang w:val="en-US" w:eastAsia="zh-CN"/>
        </w:rPr>
        <w:t>设置</w:t>
      </w:r>
    </w:p>
    <w:p w14:paraId="0EC69CE6">
      <w:pPr>
        <w:spacing w:line="240" w:lineRule="auto"/>
        <w:ind w:firstLine="420" w:firstLineChars="200"/>
        <w:jc w:val="left"/>
        <w:rPr>
          <w:rFonts w:hint="eastAsia" w:ascii="宋体" w:hAnsi="宋体"/>
          <w:color w:val="auto"/>
        </w:rPr>
      </w:pPr>
      <w:r>
        <w:rPr>
          <w:rFonts w:ascii="宋体" w:hAnsi="宋体"/>
          <w:color w:val="auto"/>
        </w:rPr>
        <w:t>对医保公共服务场所</w:t>
      </w:r>
      <w:r>
        <w:rPr>
          <w:rFonts w:hint="eastAsia" w:ascii="宋体" w:hAnsi="宋体"/>
          <w:color w:val="auto"/>
          <w:lang w:val="en-US" w:eastAsia="zh-CN"/>
        </w:rPr>
        <w:t>应设置</w:t>
      </w:r>
      <w:r>
        <w:rPr>
          <w:rFonts w:ascii="宋体" w:hAnsi="宋体"/>
          <w:color w:val="auto"/>
        </w:rPr>
        <w:t>不同服务功能区域，实行内部办公和外部服务分离，办公区和综合服务区布局合理。综合服务区应至少包括引导咨询区、自助服务区、自动排队叫号区、柜台受理服务区、等候休息区、多媒体服务区</w:t>
      </w:r>
      <w:r>
        <w:rPr>
          <w:rFonts w:hint="eastAsia" w:ascii="宋体" w:hAnsi="宋体"/>
          <w:color w:val="auto"/>
        </w:rPr>
        <w:t>、母婴区、档案管理区</w:t>
      </w:r>
      <w:r>
        <w:rPr>
          <w:rFonts w:ascii="宋体" w:hAnsi="宋体"/>
          <w:color w:val="auto"/>
        </w:rPr>
        <w:t>。</w:t>
      </w:r>
    </w:p>
    <w:p w14:paraId="326BAF9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引导咨询区</w:t>
      </w:r>
    </w:p>
    <w:p w14:paraId="44D98354">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olor w:val="auto"/>
        </w:rPr>
      </w:pPr>
      <w:r>
        <w:rPr>
          <w:rFonts w:hint="eastAsia" w:ascii="宋体" w:hAnsi="宋体"/>
          <w:color w:val="auto"/>
        </w:rPr>
        <w:t>应设置于主要入口处，保证与进入</w:t>
      </w:r>
      <w:r>
        <w:rPr>
          <w:rFonts w:ascii="宋体" w:hAnsi="宋体"/>
          <w:color w:val="auto"/>
        </w:rPr>
        <w:t>综合服务区</w:t>
      </w:r>
      <w:r>
        <w:rPr>
          <w:rFonts w:hint="eastAsia" w:ascii="宋体" w:hAnsi="宋体"/>
          <w:color w:val="auto"/>
        </w:rPr>
        <w:t>人流有直接接触。</w:t>
      </w:r>
    </w:p>
    <w:p w14:paraId="3700033F">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自助服务区</w:t>
      </w:r>
    </w:p>
    <w:p w14:paraId="6BBFEA6C">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olor w:val="auto"/>
        </w:rPr>
      </w:pPr>
      <w:r>
        <w:rPr>
          <w:rFonts w:hint="eastAsia" w:ascii="宋体" w:hAnsi="宋体"/>
          <w:color w:val="auto"/>
        </w:rPr>
        <w:t>为服务对象提供自助服务</w:t>
      </w:r>
      <w:r>
        <w:rPr>
          <w:rFonts w:hint="eastAsia" w:ascii="宋体" w:hAnsi="宋体"/>
          <w:color w:val="auto"/>
          <w:lang w:eastAsia="zh-CN"/>
        </w:rPr>
        <w:t>，</w:t>
      </w:r>
      <w:r>
        <w:rPr>
          <w:rFonts w:hint="eastAsia" w:ascii="宋体" w:hAnsi="宋体"/>
          <w:color w:val="auto"/>
          <w:lang w:val="en-US" w:eastAsia="zh-CN"/>
        </w:rPr>
        <w:t>包括自助</w:t>
      </w:r>
      <w:r>
        <w:rPr>
          <w:rFonts w:hint="eastAsia" w:ascii="宋体" w:hAnsi="宋体"/>
          <w:color w:val="auto"/>
        </w:rPr>
        <w:t>业务查询、</w:t>
      </w:r>
      <w:r>
        <w:rPr>
          <w:rFonts w:hint="eastAsia" w:ascii="宋体" w:hAnsi="宋体"/>
          <w:color w:val="auto"/>
          <w:lang w:val="en-US" w:eastAsia="zh-CN"/>
        </w:rPr>
        <w:t>自助业务</w:t>
      </w:r>
      <w:r>
        <w:rPr>
          <w:rFonts w:hint="eastAsia" w:ascii="宋体" w:hAnsi="宋体"/>
          <w:color w:val="auto"/>
        </w:rPr>
        <w:t>办理</w:t>
      </w:r>
      <w:r>
        <w:rPr>
          <w:rFonts w:hint="eastAsia" w:ascii="宋体" w:hAnsi="宋体"/>
          <w:color w:val="auto"/>
          <w:lang w:val="en-US" w:eastAsia="zh-CN"/>
        </w:rPr>
        <w:t>等</w:t>
      </w:r>
      <w:r>
        <w:rPr>
          <w:rFonts w:hint="eastAsia" w:ascii="宋体" w:hAnsi="宋体"/>
          <w:color w:val="auto"/>
        </w:rPr>
        <w:t>。</w:t>
      </w:r>
    </w:p>
    <w:p w14:paraId="57830E6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自动排队叫号区</w:t>
      </w:r>
    </w:p>
    <w:p w14:paraId="06FBBCC2">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olor w:val="auto"/>
          <w:lang w:eastAsia="zh-CN"/>
        </w:rPr>
      </w:pPr>
      <w:r>
        <w:rPr>
          <w:rFonts w:hint="eastAsia" w:ascii="宋体" w:hAnsi="宋体"/>
          <w:color w:val="auto"/>
        </w:rPr>
        <w:t>应具备号票打印、呼叫显示、查询统计分析等功能。自动取号机应安装在服务</w:t>
      </w:r>
      <w:r>
        <w:rPr>
          <w:rFonts w:hint="eastAsia" w:ascii="宋体" w:hAnsi="宋体"/>
          <w:color w:val="auto"/>
          <w:lang w:val="en-US" w:eastAsia="zh-CN"/>
        </w:rPr>
        <w:t>场所</w:t>
      </w:r>
      <w:r>
        <w:rPr>
          <w:rFonts w:hint="eastAsia" w:ascii="宋体" w:hAnsi="宋体"/>
          <w:color w:val="auto"/>
        </w:rPr>
        <w:t>的入口处</w:t>
      </w:r>
      <w:r>
        <w:rPr>
          <w:rFonts w:hint="eastAsia" w:ascii="宋体" w:hAnsi="宋体"/>
          <w:color w:val="auto"/>
          <w:lang w:eastAsia="zh-CN"/>
        </w:rPr>
        <w:t>。</w:t>
      </w:r>
    </w:p>
    <w:p w14:paraId="07E4084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.2.4</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柜台受理服务区</w:t>
      </w:r>
    </w:p>
    <w:p w14:paraId="592E9D07">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color w:val="auto"/>
        </w:rPr>
      </w:pPr>
      <w:r>
        <w:rPr>
          <w:rFonts w:hint="eastAsia" w:ascii="宋体" w:hAnsi="宋体"/>
          <w:color w:val="auto"/>
        </w:rPr>
        <w:t>应面向服务对象提供日常业务办理、政策解答等服务</w:t>
      </w:r>
      <w:r>
        <w:rPr>
          <w:rFonts w:hint="eastAsia" w:ascii="宋体" w:hAnsi="宋体"/>
          <w:color w:val="auto"/>
          <w:lang w:eastAsia="zh-CN"/>
        </w:rPr>
        <w:t>。</w:t>
      </w:r>
      <w:r>
        <w:rPr>
          <w:rFonts w:hint="eastAsia" w:ascii="宋体" w:hAnsi="宋体"/>
          <w:color w:val="auto"/>
          <w:lang w:val="en-US" w:eastAsia="zh-CN"/>
        </w:rPr>
        <w:t>条件允许时，</w:t>
      </w:r>
      <w:r>
        <w:rPr>
          <w:rFonts w:hint="eastAsia" w:ascii="宋体" w:hAnsi="宋体"/>
          <w:color w:val="auto"/>
        </w:rPr>
        <w:t>可预留机动</w:t>
      </w:r>
      <w:r>
        <w:rPr>
          <w:rFonts w:hint="eastAsia" w:ascii="宋体" w:hAnsi="宋体"/>
          <w:color w:val="auto"/>
          <w:lang w:val="en-US" w:eastAsia="zh-CN"/>
        </w:rPr>
        <w:t>服务</w:t>
      </w:r>
      <w:r>
        <w:rPr>
          <w:rFonts w:hint="eastAsia" w:ascii="宋体" w:hAnsi="宋体"/>
          <w:color w:val="auto"/>
        </w:rPr>
        <w:t>窗口。</w:t>
      </w:r>
    </w:p>
    <w:p w14:paraId="2715DA9A">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.2.5</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等候休息区</w:t>
      </w:r>
    </w:p>
    <w:p w14:paraId="0C1D4601">
      <w:pPr>
        <w:spacing w:line="240" w:lineRule="auto"/>
        <w:ind w:firstLine="420" w:firstLineChars="200"/>
        <w:jc w:val="left"/>
        <w:rPr>
          <w:rFonts w:hint="eastAsia" w:ascii="宋体" w:hAnsi="宋体"/>
          <w:color w:val="auto"/>
        </w:rPr>
      </w:pPr>
      <w:r>
        <w:rPr>
          <w:rFonts w:hint="eastAsia" w:ascii="宋体" w:hAnsi="宋体"/>
          <w:color w:val="auto"/>
        </w:rPr>
        <w:t>为服务对象提供饮水、休息交流</w:t>
      </w:r>
      <w:r>
        <w:rPr>
          <w:rFonts w:hint="eastAsia" w:ascii="宋体" w:hAnsi="宋体"/>
          <w:color w:val="auto"/>
          <w:lang w:eastAsia="zh-CN"/>
        </w:rPr>
        <w:t>，</w:t>
      </w:r>
      <w:r>
        <w:rPr>
          <w:rFonts w:hint="eastAsia" w:ascii="宋体" w:hAnsi="宋体"/>
          <w:color w:val="auto"/>
          <w:lang w:val="en-US" w:eastAsia="zh-CN"/>
        </w:rPr>
        <w:t>供</w:t>
      </w:r>
      <w:r>
        <w:rPr>
          <w:rFonts w:hint="eastAsia" w:ascii="宋体" w:hAnsi="宋体"/>
          <w:color w:val="auto"/>
        </w:rPr>
        <w:t>服务对象等候时使用。</w:t>
      </w:r>
    </w:p>
    <w:p w14:paraId="71406E9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.2.6</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多媒体服务区</w:t>
      </w:r>
    </w:p>
    <w:p w14:paraId="738EF73C">
      <w:pPr>
        <w:spacing w:line="240" w:lineRule="auto"/>
        <w:ind w:firstLine="420" w:firstLineChars="200"/>
        <w:jc w:val="left"/>
        <w:rPr>
          <w:rFonts w:hint="eastAsia" w:ascii="宋体" w:hAnsi="宋体"/>
          <w:color w:val="auto"/>
        </w:rPr>
      </w:pPr>
      <w:r>
        <w:rPr>
          <w:rFonts w:hint="eastAsia" w:ascii="宋体" w:hAnsi="宋体"/>
          <w:color w:val="auto"/>
        </w:rPr>
        <w:t>应</w:t>
      </w:r>
      <w:r>
        <w:rPr>
          <w:rFonts w:hint="eastAsia" w:ascii="宋体" w:hAnsi="宋体"/>
          <w:color w:val="auto"/>
          <w:lang w:val="en-US" w:eastAsia="zh-CN"/>
        </w:rPr>
        <w:t>具备</w:t>
      </w:r>
      <w:r>
        <w:rPr>
          <w:rFonts w:hint="eastAsia" w:ascii="宋体" w:hAnsi="宋体"/>
          <w:color w:val="auto"/>
        </w:rPr>
        <w:t>业务宣传、信息公开等功能。</w:t>
      </w:r>
    </w:p>
    <w:p w14:paraId="505BBEA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.2.7</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母婴区</w:t>
      </w:r>
    </w:p>
    <w:p w14:paraId="1B2EC952">
      <w:pPr>
        <w:spacing w:line="240" w:lineRule="auto"/>
        <w:ind w:firstLine="420" w:firstLineChars="200"/>
        <w:jc w:val="left"/>
        <w:rPr>
          <w:rFonts w:hint="eastAsia" w:ascii="宋体" w:hAnsi="宋体"/>
          <w:color w:val="auto"/>
        </w:rPr>
      </w:pPr>
      <w:r>
        <w:rPr>
          <w:rFonts w:hint="eastAsia" w:ascii="宋体" w:hAnsi="宋体"/>
          <w:color w:val="auto"/>
        </w:rPr>
        <w:t>应具备对哺乳期婴儿进行护理、哺乳、集乳、喂食、备餐</w:t>
      </w:r>
      <w:r>
        <w:rPr>
          <w:rFonts w:hint="eastAsia" w:ascii="宋体" w:hAnsi="宋体"/>
          <w:color w:val="auto"/>
          <w:lang w:val="en-US" w:eastAsia="zh-CN"/>
        </w:rPr>
        <w:t>等</w:t>
      </w:r>
      <w:r>
        <w:rPr>
          <w:rFonts w:hint="eastAsia" w:ascii="宋体" w:hAnsi="宋体"/>
          <w:color w:val="auto"/>
        </w:rPr>
        <w:t>功能。</w:t>
      </w:r>
    </w:p>
    <w:p w14:paraId="3B1C27F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.2.8</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档案管理区</w:t>
      </w:r>
    </w:p>
    <w:p w14:paraId="1A973761">
      <w:pPr>
        <w:spacing w:line="240" w:lineRule="auto"/>
        <w:ind w:firstLine="420" w:firstLineChars="200"/>
        <w:jc w:val="left"/>
        <w:rPr>
          <w:rFonts w:hint="eastAsia" w:ascii="宋体" w:hAnsi="宋体"/>
          <w:color w:val="auto"/>
        </w:rPr>
      </w:pPr>
      <w:r>
        <w:rPr>
          <w:rFonts w:hint="eastAsia" w:ascii="宋体" w:hAnsi="宋体"/>
          <w:color w:val="auto"/>
        </w:rPr>
        <w:t>档案管理区应设置档案室，文本档案和电子档案</w:t>
      </w:r>
      <w:r>
        <w:rPr>
          <w:rFonts w:hint="eastAsia" w:ascii="宋体" w:hAnsi="宋体"/>
          <w:color w:val="auto"/>
          <w:lang w:val="en-US" w:eastAsia="zh-CN"/>
        </w:rPr>
        <w:t>需</w:t>
      </w:r>
      <w:r>
        <w:rPr>
          <w:rFonts w:hint="eastAsia" w:ascii="宋体" w:hAnsi="宋体"/>
          <w:color w:val="auto"/>
        </w:rPr>
        <w:t>分区域存放，</w:t>
      </w:r>
      <w:r>
        <w:rPr>
          <w:rFonts w:hint="eastAsia" w:ascii="宋体" w:hAnsi="宋体"/>
          <w:color w:val="auto"/>
          <w:lang w:val="en-US" w:eastAsia="zh-CN"/>
        </w:rPr>
        <w:t>并有专职</w:t>
      </w:r>
      <w:r>
        <w:rPr>
          <w:rFonts w:hint="eastAsia" w:ascii="宋体" w:hAnsi="宋体"/>
          <w:color w:val="auto"/>
        </w:rPr>
        <w:t>人员负责档案管理工作。</w:t>
      </w:r>
    </w:p>
    <w:p w14:paraId="04173482">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配套</w:t>
      </w:r>
      <w:r>
        <w:rPr>
          <w:rFonts w:hint="eastAsia" w:ascii="黑体" w:hAnsi="黑体" w:eastAsia="黑体" w:cs="Times New Roman"/>
          <w:color w:val="auto"/>
          <w:szCs w:val="21"/>
          <w:lang w:val="en-US" w:eastAsia="zh-CN"/>
        </w:rPr>
        <w:t>设备</w:t>
      </w:r>
    </w:p>
    <w:p w14:paraId="76217CAA">
      <w:pPr>
        <w:spacing w:line="240" w:lineRule="auto"/>
        <w:ind w:firstLine="420" w:firstLineChars="200"/>
        <w:jc w:val="left"/>
        <w:rPr>
          <w:rFonts w:hint="eastAsia" w:ascii="宋体" w:hAnsi="宋体"/>
          <w:color w:val="auto"/>
        </w:rPr>
      </w:pPr>
      <w:r>
        <w:rPr>
          <w:rFonts w:ascii="宋体" w:hAnsi="宋体"/>
          <w:color w:val="auto"/>
        </w:rPr>
        <w:t>主要包括办公设备、宣传</w:t>
      </w:r>
      <w:r>
        <w:rPr>
          <w:rFonts w:hint="eastAsia" w:ascii="宋体" w:hAnsi="宋体"/>
          <w:color w:val="auto"/>
          <w:lang w:val="en-US" w:eastAsia="zh-CN"/>
        </w:rPr>
        <w:t>设备</w:t>
      </w:r>
      <w:r>
        <w:rPr>
          <w:rFonts w:ascii="宋体" w:hAnsi="宋体"/>
          <w:color w:val="auto"/>
        </w:rPr>
        <w:t>、功能区设备、基础医疗设备。</w:t>
      </w:r>
    </w:p>
    <w:p w14:paraId="47DD08A7">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.3.1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办公设备</w:t>
      </w:r>
    </w:p>
    <w:p w14:paraId="0D907B52">
      <w:pPr>
        <w:spacing w:line="240" w:lineRule="auto"/>
        <w:ind w:firstLine="420" w:firstLineChars="200"/>
        <w:jc w:val="left"/>
        <w:rPr>
          <w:rFonts w:hint="eastAsia" w:ascii="宋体" w:hAnsi="宋体"/>
          <w:color w:val="auto"/>
        </w:rPr>
      </w:pPr>
      <w:r>
        <w:rPr>
          <w:rFonts w:hint="eastAsia" w:ascii="宋体" w:hAnsi="宋体"/>
          <w:color w:val="auto"/>
          <w:lang w:eastAsia="zh-CN"/>
        </w:rPr>
        <w:t>包含但不限于</w:t>
      </w:r>
      <w:r>
        <w:rPr>
          <w:rFonts w:ascii="宋体" w:hAnsi="宋体"/>
          <w:color w:val="auto"/>
        </w:rPr>
        <w:t>必备符合标准规范的柜面、办公家具、计算机、打印机、复印机、扫描仪（OCR）、电话、引导台、排椅、填单台、意见箱。</w:t>
      </w:r>
    </w:p>
    <w:p w14:paraId="2E0A5FF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lang w:eastAsia="zh-CN"/>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.3.2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宣传</w:t>
      </w:r>
      <w:r>
        <w:rPr>
          <w:rFonts w:hint="eastAsia" w:ascii="黑体" w:hAnsi="黑体" w:eastAsia="黑体" w:cs="Times New Roman"/>
          <w:color w:val="auto"/>
          <w:szCs w:val="21"/>
          <w:lang w:val="en-US" w:eastAsia="zh-CN"/>
        </w:rPr>
        <w:t>设备</w:t>
      </w:r>
    </w:p>
    <w:p w14:paraId="31C15E3F">
      <w:pPr>
        <w:spacing w:line="240" w:lineRule="auto"/>
        <w:ind w:firstLine="420" w:firstLineChars="200"/>
        <w:jc w:val="left"/>
        <w:rPr>
          <w:rFonts w:hint="eastAsia" w:ascii="宋体" w:hAnsi="宋体"/>
          <w:color w:val="auto"/>
        </w:rPr>
      </w:pPr>
      <w:r>
        <w:rPr>
          <w:rFonts w:hint="eastAsia" w:ascii="宋体" w:hAnsi="宋体"/>
          <w:color w:val="auto"/>
          <w:lang w:eastAsia="zh-CN"/>
        </w:rPr>
        <w:t>包含但不限于</w:t>
      </w:r>
      <w:r>
        <w:rPr>
          <w:rFonts w:ascii="宋体" w:hAnsi="宋体"/>
          <w:color w:val="auto"/>
        </w:rPr>
        <w:t>电子显示屏、资料架、便民手机充电站。</w:t>
      </w:r>
    </w:p>
    <w:p w14:paraId="5A873B90">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.3.3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功能区设备</w:t>
      </w:r>
    </w:p>
    <w:p w14:paraId="509A3664">
      <w:pPr>
        <w:spacing w:line="240" w:lineRule="auto"/>
        <w:ind w:firstLine="420" w:firstLineChars="200"/>
        <w:jc w:val="left"/>
        <w:rPr>
          <w:rFonts w:hint="eastAsia" w:ascii="宋体" w:hAnsi="宋体"/>
          <w:color w:val="auto"/>
        </w:rPr>
      </w:pPr>
      <w:r>
        <w:rPr>
          <w:rFonts w:hint="eastAsia" w:ascii="宋体" w:hAnsi="宋体"/>
          <w:color w:val="auto"/>
          <w:lang w:eastAsia="zh-CN"/>
        </w:rPr>
        <w:t>包含但不限于</w:t>
      </w:r>
      <w:r>
        <w:rPr>
          <w:rFonts w:hint="eastAsia" w:ascii="宋体" w:hAnsi="宋体"/>
          <w:color w:val="auto"/>
        </w:rPr>
        <w:t>自助叫号机、</w:t>
      </w:r>
      <w:r>
        <w:rPr>
          <w:rFonts w:ascii="宋体" w:hAnsi="宋体"/>
          <w:color w:val="auto"/>
        </w:rPr>
        <w:t>自助服务一体机、书写台、笔、老花眼镜、表格填写样本。</w:t>
      </w:r>
    </w:p>
    <w:p w14:paraId="02FF0F1A">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.3.4</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基础医疗设备</w:t>
      </w:r>
    </w:p>
    <w:p w14:paraId="293445A8">
      <w:pPr>
        <w:spacing w:line="240" w:lineRule="auto"/>
        <w:ind w:firstLine="420" w:firstLineChars="200"/>
        <w:jc w:val="left"/>
        <w:rPr>
          <w:rFonts w:hint="eastAsia" w:ascii="宋体" w:hAnsi="宋体"/>
          <w:color w:val="auto"/>
        </w:rPr>
      </w:pPr>
      <w:r>
        <w:rPr>
          <w:rFonts w:hint="eastAsia" w:ascii="宋体" w:hAnsi="宋体"/>
          <w:color w:val="auto"/>
          <w:lang w:eastAsia="zh-CN"/>
        </w:rPr>
        <w:t>包含但不限于</w:t>
      </w:r>
      <w:r>
        <w:rPr>
          <w:rFonts w:ascii="宋体" w:hAnsi="宋体"/>
          <w:color w:val="auto"/>
        </w:rPr>
        <w:t>血压仪、医疗救急包、疫情防控物品。</w:t>
      </w:r>
    </w:p>
    <w:p w14:paraId="0BCA530F">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4</w:t>
      </w:r>
      <w:r>
        <w:rPr>
          <w:rFonts w:hint="eastAsia" w:ascii="黑体" w:hAnsi="黑体" w:eastAsia="黑体" w:cs="Times New Roman"/>
          <w:color w:val="auto"/>
          <w:szCs w:val="21"/>
        </w:rPr>
        <w:t>.4</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标识</w:t>
      </w:r>
    </w:p>
    <w:p w14:paraId="58AD35A4">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4.4.1</w:t>
      </w:r>
      <w:r>
        <w:rPr>
          <w:rFonts w:hint="eastAsia" w:ascii="宋体" w:hAnsi="宋体" w:eastAsia="宋体" w:cs="Times New Roman"/>
          <w:color w:val="auto"/>
          <w:szCs w:val="21"/>
        </w:rPr>
        <w:t>在场所入口处设置医疗保障品牌标识，规范统一使用医疗保障官方标志“CHS”，主形下方中文字体“中国医疗保障”为方正正粗黑简体，下方英文字体“CHINA HEALTHCARE SECURITY”为方正黑体简体，中英文字体均为灰色</w:t>
      </w:r>
      <w:r>
        <w:rPr>
          <w:rFonts w:hint="eastAsia" w:ascii="宋体" w:hAnsi="宋体" w:eastAsia="宋体" w:cs="Times New Roman"/>
          <w:color w:val="auto"/>
          <w:szCs w:val="21"/>
          <w:lang w:eastAsia="zh-CN"/>
        </w:rPr>
        <w:t>，具体样式按照</w:t>
      </w:r>
      <w:r>
        <w:rPr>
          <w:rFonts w:hint="eastAsia" w:ascii="宋体" w:hAnsi="宋体" w:eastAsia="宋体" w:cs="Times New Roman"/>
          <w:color w:val="auto"/>
          <w:szCs w:val="21"/>
          <w:lang w:val="en-US" w:eastAsia="zh-CN"/>
        </w:rPr>
        <w:t>《</w:t>
      </w:r>
      <w:r>
        <w:rPr>
          <w:rFonts w:hint="eastAsia" w:ascii="宋体" w:hAnsi="宋体" w:eastAsia="宋体" w:cs="宋体"/>
          <w:color w:val="auto"/>
        </w:rPr>
        <w:t>医疗保障经办大厅设置与服务规范</w:t>
      </w:r>
      <w:r>
        <w:rPr>
          <w:rFonts w:hint="eastAsia" w:ascii="宋体" w:hAnsi="宋体" w:eastAsia="宋体" w:cs="Times New Roman"/>
          <w:color w:val="auto"/>
        </w:rPr>
        <w:t>（试行）</w:t>
      </w:r>
      <w:r>
        <w:rPr>
          <w:rFonts w:hint="eastAsia" w:ascii="宋体" w:hAnsi="宋体" w:eastAsia="宋体" w:cs="Times New Roman"/>
          <w:color w:val="auto"/>
          <w:szCs w:val="21"/>
          <w:lang w:val="en-US" w:eastAsia="zh-CN"/>
        </w:rPr>
        <w:t>》</w:t>
      </w:r>
      <w:r>
        <w:rPr>
          <w:rFonts w:hint="eastAsia" w:ascii="宋体" w:hAnsi="宋体" w:eastAsia="宋体" w:cs="Times New Roman"/>
          <w:color w:val="auto"/>
        </w:rPr>
        <w:t>（医保办发〔2021〕17号）</w:t>
      </w:r>
      <w:r>
        <w:rPr>
          <w:rFonts w:hint="eastAsia" w:ascii="宋体" w:hAnsi="宋体" w:eastAsia="宋体" w:cs="Times New Roman"/>
          <w:color w:val="auto"/>
          <w:szCs w:val="21"/>
          <w:lang w:val="en-US" w:eastAsia="zh-CN"/>
        </w:rPr>
        <w:t>设计</w:t>
      </w:r>
      <w:r>
        <w:rPr>
          <w:rFonts w:hint="eastAsia" w:ascii="宋体" w:hAnsi="宋体" w:eastAsia="宋体" w:cs="Times New Roman"/>
          <w:color w:val="auto"/>
          <w:szCs w:val="21"/>
        </w:rPr>
        <w:t>。</w:t>
      </w:r>
    </w:p>
    <w:p w14:paraId="47B7B36D">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Times New Roman"/>
          <w:color w:val="auto"/>
          <w:szCs w:val="21"/>
        </w:rPr>
      </w:pPr>
      <w:r>
        <w:rPr>
          <w:rFonts w:hint="eastAsia" w:ascii="宋体" w:hAnsi="宋体" w:eastAsia="宋体" w:cs="Times New Roman"/>
          <w:color w:val="auto"/>
          <w:szCs w:val="21"/>
          <w:lang w:val="en-US" w:eastAsia="zh-CN"/>
        </w:rPr>
        <w:t>4.4.2</w:t>
      </w:r>
      <w:r>
        <w:rPr>
          <w:rFonts w:hint="eastAsia" w:ascii="宋体" w:hAnsi="宋体" w:eastAsia="宋体" w:cs="Times New Roman"/>
          <w:color w:val="auto"/>
          <w:szCs w:val="21"/>
        </w:rPr>
        <w:t>服务场所按照方便和引导服务对象办理医疗保障事项的原则设置规范统一、标识明显、指示清晰的导向性或功能性标识。</w:t>
      </w:r>
    </w:p>
    <w:p w14:paraId="5C1867AA">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val="en-US" w:eastAsia="zh-CN"/>
        </w:rPr>
      </w:pPr>
      <w:r>
        <w:rPr>
          <w:rFonts w:hint="eastAsia" w:ascii="黑体" w:hAnsi="黑体" w:eastAsia="黑体"/>
          <w:b w:val="0"/>
          <w:bCs w:val="0"/>
          <w:color w:val="auto"/>
          <w:sz w:val="21"/>
          <w:szCs w:val="21"/>
          <w:lang w:val="en-US" w:eastAsia="zh-CN"/>
        </w:rPr>
        <w:t>5</w:t>
      </w:r>
      <w:r>
        <w:rPr>
          <w:rFonts w:ascii="黑体" w:hAnsi="黑体" w:eastAsia="黑体"/>
          <w:b w:val="0"/>
          <w:bCs w:val="0"/>
          <w:color w:val="auto"/>
          <w:sz w:val="21"/>
          <w:szCs w:val="21"/>
        </w:rPr>
        <w:t xml:space="preserve">  服务事项</w:t>
      </w:r>
    </w:p>
    <w:p w14:paraId="5BAA34F5">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olor w:val="auto"/>
          <w:szCs w:val="21"/>
          <w:lang w:val="en-US" w:eastAsia="zh-CN"/>
        </w:rPr>
      </w:pPr>
      <w:r>
        <w:rPr>
          <w:rFonts w:hint="eastAsia" w:ascii="黑体" w:hAnsi="黑体" w:eastAsia="黑体"/>
          <w:color w:val="auto"/>
          <w:szCs w:val="21"/>
          <w:lang w:val="en-US" w:eastAsia="zh-CN"/>
        </w:rPr>
        <w:t>5</w:t>
      </w:r>
      <w:r>
        <w:rPr>
          <w:rFonts w:ascii="黑体" w:hAnsi="黑体" w:eastAsia="黑体"/>
          <w:color w:val="auto"/>
          <w:szCs w:val="21"/>
        </w:rPr>
        <w:t>.1</w:t>
      </w:r>
      <w:r>
        <w:rPr>
          <w:rFonts w:hint="eastAsia" w:ascii="黑体" w:hAnsi="黑体" w:eastAsia="黑体"/>
          <w:color w:val="auto"/>
          <w:szCs w:val="21"/>
          <w:lang w:val="en-US" w:eastAsia="zh-CN"/>
        </w:rPr>
        <w:t xml:space="preserve"> </w:t>
      </w:r>
      <w:r>
        <w:rPr>
          <w:rFonts w:ascii="黑体" w:hAnsi="黑体" w:eastAsia="黑体"/>
          <w:color w:val="auto"/>
          <w:szCs w:val="21"/>
        </w:rPr>
        <w:t>服务遵循</w:t>
      </w:r>
      <w:r>
        <w:rPr>
          <w:rFonts w:hint="eastAsia" w:ascii="黑体" w:hAnsi="黑体" w:eastAsia="黑体"/>
          <w:color w:val="auto"/>
          <w:szCs w:val="21"/>
          <w:lang w:val="en-US" w:eastAsia="zh-CN"/>
        </w:rPr>
        <w:t>要求</w:t>
      </w:r>
    </w:p>
    <w:p w14:paraId="1685EDD7">
      <w:pPr>
        <w:spacing w:line="240" w:lineRule="auto"/>
        <w:ind w:firstLine="420" w:firstLineChars="200"/>
        <w:jc w:val="left"/>
        <w:rPr>
          <w:rFonts w:ascii="宋体" w:hAnsi="宋体"/>
          <w:color w:val="auto"/>
        </w:rPr>
      </w:pPr>
      <w:r>
        <w:rPr>
          <w:rFonts w:hint="eastAsia" w:ascii="宋体" w:hAnsi="宋体"/>
          <w:color w:val="auto"/>
          <w:lang w:eastAsia="zh-CN"/>
        </w:rPr>
        <w:t>服务基本原则应符合</w:t>
      </w:r>
      <w:r>
        <w:rPr>
          <w:rFonts w:hint="eastAsia" w:ascii="宋体" w:hAnsi="宋体"/>
          <w:color w:val="auto"/>
          <w:lang w:val="en-US" w:eastAsia="zh-CN"/>
        </w:rPr>
        <w:t>GB/T 27768的要求</w:t>
      </w:r>
      <w:r>
        <w:rPr>
          <w:rFonts w:hint="eastAsia" w:ascii="宋体" w:hAnsi="宋体"/>
          <w:color w:val="auto"/>
          <w:lang w:eastAsia="zh-CN"/>
        </w:rPr>
        <w:t>，并</w:t>
      </w:r>
      <w:r>
        <w:rPr>
          <w:rFonts w:ascii="宋体" w:hAnsi="宋体"/>
          <w:color w:val="auto"/>
        </w:rPr>
        <w:t>严格按照江苏省统一的《医疗保障经办政务服务事项清单和办事指南》</w:t>
      </w:r>
      <w:r>
        <w:rPr>
          <w:rFonts w:hint="eastAsia" w:ascii="宋体" w:hAnsi="宋体"/>
          <w:color w:val="auto"/>
          <w:lang w:eastAsia="zh-CN"/>
        </w:rPr>
        <w:t>、</w:t>
      </w:r>
      <w:r>
        <w:rPr>
          <w:rFonts w:ascii="宋体" w:hAnsi="宋体"/>
          <w:color w:val="auto"/>
        </w:rPr>
        <w:t>《全省医疗保障经办政务服务事项操作指引》</w:t>
      </w:r>
      <w:r>
        <w:rPr>
          <w:rFonts w:hint="eastAsia" w:ascii="宋体" w:hAnsi="宋体"/>
          <w:color w:val="auto"/>
          <w:lang w:eastAsia="zh-CN"/>
        </w:rPr>
        <w:t>、</w:t>
      </w:r>
      <w:r>
        <w:rPr>
          <w:rFonts w:ascii="宋体" w:hAnsi="宋体"/>
          <w:color w:val="auto"/>
        </w:rPr>
        <w:t>《江苏省医疗保障经办服务规范（试行）》要求执行。</w:t>
      </w:r>
    </w:p>
    <w:p w14:paraId="3CF782E0">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服务内容</w:t>
      </w:r>
    </w:p>
    <w:p w14:paraId="16F07B2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.2.1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基础便民服务</w:t>
      </w:r>
    </w:p>
    <w:p w14:paraId="14FD1305">
      <w:pPr>
        <w:spacing w:line="240" w:lineRule="auto"/>
        <w:ind w:firstLine="420" w:firstLineChars="200"/>
        <w:jc w:val="left"/>
        <w:rPr>
          <w:rFonts w:hint="eastAsia" w:ascii="宋体" w:hAnsi="宋体"/>
          <w:color w:val="auto"/>
        </w:rPr>
      </w:pPr>
      <w:r>
        <w:rPr>
          <w:rFonts w:ascii="宋体" w:hAnsi="宋体"/>
          <w:color w:val="auto"/>
        </w:rPr>
        <w:t>对本区域参保企业和参保人员基础信息进行采集、整理和录入，建立参保经办服务信息台账，实时掌握服务对象业务办理需求。精准定位和动态管理区域内困难人群和老弱居民，主动提供</w:t>
      </w:r>
      <w:r>
        <w:rPr>
          <w:rFonts w:hint="eastAsia" w:ascii="宋体" w:hAnsi="宋体"/>
          <w:color w:val="auto"/>
          <w:lang w:val="en-US" w:eastAsia="zh-CN"/>
        </w:rPr>
        <w:t>医保经办</w:t>
      </w:r>
      <w:r>
        <w:rPr>
          <w:rFonts w:ascii="宋体" w:hAnsi="宋体"/>
          <w:color w:val="auto"/>
        </w:rPr>
        <w:t>服务。通过信息共享，掌握本区域内新增及流动人员</w:t>
      </w:r>
      <w:r>
        <w:rPr>
          <w:rFonts w:hint="eastAsia" w:ascii="宋体" w:hAnsi="宋体"/>
          <w:color w:val="auto"/>
          <w:lang w:val="en-US" w:eastAsia="zh-CN"/>
        </w:rPr>
        <w:t>参保</w:t>
      </w:r>
      <w:r>
        <w:rPr>
          <w:rFonts w:ascii="宋体" w:hAnsi="宋体"/>
          <w:color w:val="auto"/>
        </w:rPr>
        <w:t>情况，及时做好相关医保跟踪服务。</w:t>
      </w:r>
    </w:p>
    <w:p w14:paraId="341DB952">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.2.2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业务经办服务</w:t>
      </w:r>
    </w:p>
    <w:p w14:paraId="6867F216">
      <w:pPr>
        <w:spacing w:line="240" w:lineRule="auto"/>
        <w:ind w:firstLine="420" w:firstLineChars="200"/>
        <w:jc w:val="left"/>
        <w:rPr>
          <w:rFonts w:hint="eastAsia" w:ascii="宋体" w:hAnsi="宋体"/>
          <w:color w:val="auto"/>
        </w:rPr>
      </w:pPr>
      <w:r>
        <w:rPr>
          <w:rFonts w:hint="eastAsia" w:ascii="宋体" w:hAnsi="宋体"/>
          <w:color w:val="auto"/>
        </w:rPr>
        <w:t>各</w:t>
      </w:r>
      <w:r>
        <w:rPr>
          <w:rFonts w:hint="eastAsia" w:ascii="宋体" w:hAnsi="宋体"/>
          <w:color w:val="auto"/>
          <w:lang w:val="en-US" w:eastAsia="zh-CN"/>
        </w:rPr>
        <w:t>乡</w:t>
      </w:r>
      <w:r>
        <w:rPr>
          <w:rFonts w:hint="eastAsia" w:ascii="宋体" w:hAnsi="宋体"/>
          <w:color w:val="auto"/>
        </w:rPr>
        <w:t>镇（街道）严格按照市、区级下放医保公共服务事项开展业务经办工作</w:t>
      </w:r>
      <w:r>
        <w:rPr>
          <w:rFonts w:hint="eastAsia" w:ascii="宋体" w:hAnsi="宋体"/>
          <w:color w:val="auto"/>
          <w:lang w:eastAsia="zh-CN"/>
        </w:rPr>
        <w:t>。</w:t>
      </w:r>
      <w:r>
        <w:rPr>
          <w:rFonts w:hint="eastAsia" w:ascii="宋体" w:hAnsi="宋体"/>
          <w:color w:val="auto"/>
          <w:lang w:val="en-US" w:eastAsia="zh-CN"/>
        </w:rPr>
        <w:t>对于需</w:t>
      </w:r>
      <w:r>
        <w:rPr>
          <w:rFonts w:ascii="宋体" w:hAnsi="宋体"/>
          <w:color w:val="auto"/>
        </w:rPr>
        <w:t>即时办理的事项</w:t>
      </w:r>
      <w:r>
        <w:rPr>
          <w:rFonts w:hint="eastAsia" w:ascii="宋体" w:hAnsi="宋体"/>
          <w:color w:val="auto"/>
          <w:lang w:eastAsia="zh-CN"/>
        </w:rPr>
        <w:t>，</w:t>
      </w:r>
      <w:r>
        <w:rPr>
          <w:rFonts w:ascii="宋体" w:hAnsi="宋体"/>
          <w:color w:val="auto"/>
        </w:rPr>
        <w:t>平均办理时长不超过10</w:t>
      </w:r>
      <w:r>
        <w:rPr>
          <w:rFonts w:hint="eastAsia" w:ascii="宋体" w:hAnsi="宋体"/>
          <w:color w:val="auto"/>
          <w:lang w:val="en-US" w:eastAsia="zh-CN"/>
        </w:rPr>
        <w:t>min</w:t>
      </w:r>
      <w:r>
        <w:rPr>
          <w:rFonts w:ascii="宋体" w:hAnsi="宋体"/>
          <w:color w:val="auto"/>
        </w:rPr>
        <w:t>。</w:t>
      </w:r>
    </w:p>
    <w:p w14:paraId="0EF0D37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.2.3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宣传咨询服务</w:t>
      </w:r>
    </w:p>
    <w:p w14:paraId="0EF52A87">
      <w:pPr>
        <w:spacing w:line="240" w:lineRule="auto"/>
        <w:ind w:firstLine="420" w:firstLineChars="200"/>
        <w:jc w:val="left"/>
        <w:rPr>
          <w:rFonts w:hint="eastAsia" w:ascii="宋体" w:hAnsi="宋体"/>
          <w:color w:val="auto"/>
        </w:rPr>
      </w:pPr>
      <w:r>
        <w:rPr>
          <w:rFonts w:ascii="宋体" w:hAnsi="宋体"/>
          <w:color w:val="auto"/>
        </w:rPr>
        <w:t>配合市、</w:t>
      </w:r>
      <w:r>
        <w:rPr>
          <w:rFonts w:hint="eastAsia" w:ascii="宋体" w:hAnsi="宋体"/>
          <w:color w:val="auto"/>
          <w:lang w:eastAsia="zh-CN"/>
        </w:rPr>
        <w:t>县（区）</w:t>
      </w:r>
      <w:r>
        <w:rPr>
          <w:rFonts w:ascii="宋体" w:hAnsi="宋体"/>
          <w:color w:val="auto"/>
        </w:rPr>
        <w:t>两级医保经办机构及时开展相关法律法规、政策、业务经办宣传和咨询解释工作，重点对参保缴费、门慢门特待遇、大病保险、医疗救助、异地就医和零星报销等咨询度较高的业务主动进行宣传解释。</w:t>
      </w:r>
    </w:p>
    <w:p w14:paraId="59DFDBCA">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服务渠道</w:t>
      </w:r>
    </w:p>
    <w:p w14:paraId="116532C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.3.1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现场办理</w:t>
      </w:r>
    </w:p>
    <w:p w14:paraId="0D454EFD">
      <w:pPr>
        <w:spacing w:line="240" w:lineRule="auto"/>
        <w:ind w:firstLine="420" w:firstLineChars="200"/>
        <w:jc w:val="left"/>
        <w:rPr>
          <w:rFonts w:hint="eastAsia" w:ascii="宋体" w:hAnsi="宋体"/>
          <w:color w:val="auto"/>
        </w:rPr>
      </w:pPr>
      <w:r>
        <w:rPr>
          <w:rFonts w:ascii="宋体" w:hAnsi="宋体"/>
          <w:color w:val="auto"/>
        </w:rPr>
        <w:t>全面实施“前台综合受理，后台分类办理，窗口统一出件”的综合柜员制服务模式。</w:t>
      </w:r>
    </w:p>
    <w:p w14:paraId="2FA8DDE1">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.3.2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网上办理</w:t>
      </w:r>
    </w:p>
    <w:p w14:paraId="0CEE1AA2">
      <w:pPr>
        <w:spacing w:line="240" w:lineRule="auto"/>
        <w:ind w:firstLine="420" w:firstLineChars="200"/>
        <w:jc w:val="left"/>
        <w:rPr>
          <w:rFonts w:hint="eastAsia" w:ascii="宋体" w:hAnsi="宋体"/>
          <w:color w:val="auto"/>
        </w:rPr>
      </w:pPr>
      <w:r>
        <w:rPr>
          <w:rFonts w:ascii="宋体" w:hAnsi="宋体"/>
          <w:color w:val="auto"/>
        </w:rPr>
        <w:t>依托全国统一的医保电子凭证和江苏医保云平台，实现参保人员在线申领、在线验证开通，在线</w:t>
      </w:r>
      <w:r>
        <w:rPr>
          <w:rFonts w:hint="eastAsia" w:ascii="宋体" w:hAnsi="宋体"/>
          <w:color w:val="auto"/>
          <w:lang w:val="en-US" w:eastAsia="zh-CN"/>
        </w:rPr>
        <w:t>进行</w:t>
      </w:r>
      <w:r>
        <w:rPr>
          <w:rFonts w:ascii="宋体" w:hAnsi="宋体"/>
          <w:color w:val="auto"/>
        </w:rPr>
        <w:t>预约挂号、医保结算、移动付费等全流程的</w:t>
      </w:r>
      <w:r>
        <w:rPr>
          <w:rFonts w:hint="eastAsia" w:ascii="宋体" w:hAnsi="宋体"/>
          <w:color w:val="auto"/>
          <w:lang w:val="en-US" w:eastAsia="zh-CN"/>
        </w:rPr>
        <w:t>医保</w:t>
      </w:r>
      <w:r>
        <w:rPr>
          <w:rFonts w:ascii="宋体" w:hAnsi="宋体"/>
          <w:color w:val="auto"/>
        </w:rPr>
        <w:t>服务，拓展网上办、掌上办、终端自助办等非现场办理渠道，落实“不见面”办理。</w:t>
      </w:r>
    </w:p>
    <w:p w14:paraId="7857451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5</w:t>
      </w:r>
      <w:r>
        <w:rPr>
          <w:rFonts w:hint="eastAsia" w:ascii="黑体" w:hAnsi="黑体" w:eastAsia="黑体" w:cs="Times New Roman"/>
          <w:color w:val="auto"/>
          <w:szCs w:val="21"/>
        </w:rPr>
        <w:t>.3.3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“适老”智能服务</w:t>
      </w:r>
    </w:p>
    <w:p w14:paraId="72298734">
      <w:pPr>
        <w:spacing w:line="240" w:lineRule="auto"/>
        <w:ind w:firstLine="420" w:firstLineChars="200"/>
        <w:jc w:val="left"/>
        <w:rPr>
          <w:rFonts w:hint="eastAsia" w:ascii="Times New Roman" w:hAnsi="Times New Roman"/>
          <w:color w:val="auto"/>
          <w:sz w:val="24"/>
        </w:rPr>
      </w:pPr>
      <w:r>
        <w:rPr>
          <w:rFonts w:ascii="宋体" w:hAnsi="宋体"/>
          <w:color w:val="auto"/>
        </w:rPr>
        <w:t>开通老年人等候办理绿色通道，对高龄老人和困难人群提供上门服务。</w:t>
      </w:r>
    </w:p>
    <w:p w14:paraId="2CD1E8BA">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val="en-US" w:eastAsia="zh-CN"/>
        </w:rPr>
      </w:pPr>
      <w:r>
        <w:rPr>
          <w:rFonts w:hint="eastAsia" w:ascii="黑体" w:hAnsi="黑体" w:eastAsia="黑体"/>
          <w:b w:val="0"/>
          <w:bCs w:val="0"/>
          <w:color w:val="auto"/>
          <w:sz w:val="21"/>
          <w:szCs w:val="21"/>
          <w:lang w:val="en-US" w:eastAsia="zh-CN"/>
        </w:rPr>
        <w:t>6</w:t>
      </w:r>
      <w:r>
        <w:rPr>
          <w:rFonts w:ascii="黑体" w:hAnsi="黑体" w:eastAsia="黑体"/>
          <w:b w:val="0"/>
          <w:bCs w:val="0"/>
          <w:color w:val="auto"/>
          <w:sz w:val="21"/>
          <w:szCs w:val="21"/>
        </w:rPr>
        <w:t xml:space="preserve">  队伍建设</w:t>
      </w:r>
    </w:p>
    <w:p w14:paraId="0B7239F4">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6</w:t>
      </w:r>
      <w:r>
        <w:rPr>
          <w:rFonts w:hint="eastAsia" w:ascii="黑体" w:hAnsi="黑体" w:eastAsia="黑体" w:cs="Times New Roman"/>
          <w:color w:val="auto"/>
          <w:szCs w:val="21"/>
        </w:rPr>
        <w:t>.1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人员配置</w:t>
      </w:r>
    </w:p>
    <w:p w14:paraId="0ADEF4B8">
      <w:pPr>
        <w:spacing w:line="240" w:lineRule="auto"/>
        <w:ind w:firstLine="420" w:firstLineChars="200"/>
        <w:jc w:val="left"/>
        <w:rPr>
          <w:rFonts w:hint="eastAsia" w:ascii="宋体" w:hAnsi="宋体"/>
          <w:color w:val="auto"/>
        </w:rPr>
      </w:pPr>
      <w:r>
        <w:rPr>
          <w:rFonts w:hint="eastAsia" w:ascii="宋体" w:hAnsi="宋体"/>
          <w:color w:val="auto"/>
        </w:rPr>
        <w:t>各</w:t>
      </w:r>
      <w:r>
        <w:rPr>
          <w:rFonts w:hint="eastAsia" w:ascii="宋体" w:hAnsi="宋体"/>
          <w:color w:val="auto"/>
          <w:lang w:val="en-US" w:eastAsia="zh-CN"/>
        </w:rPr>
        <w:t>乡</w:t>
      </w:r>
      <w:r>
        <w:rPr>
          <w:rFonts w:hint="eastAsia" w:ascii="宋体" w:hAnsi="宋体"/>
          <w:color w:val="auto"/>
        </w:rPr>
        <w:t>镇（街道）</w:t>
      </w:r>
      <w:r>
        <w:rPr>
          <w:rFonts w:ascii="宋体" w:hAnsi="宋体"/>
          <w:color w:val="auto"/>
        </w:rPr>
        <w:t>按照所在地户籍或常住人口</w:t>
      </w:r>
      <w:r>
        <w:rPr>
          <w:rFonts w:hint="eastAsia" w:ascii="宋体" w:hAnsi="宋体"/>
          <w:color w:val="auto"/>
          <w:lang w:val="en-US" w:eastAsia="zh-CN"/>
        </w:rPr>
        <w:t>数量</w:t>
      </w:r>
      <w:r>
        <w:rPr>
          <w:rFonts w:ascii="宋体" w:hAnsi="宋体"/>
          <w:color w:val="auto"/>
        </w:rPr>
        <w:t>配备医保</w:t>
      </w:r>
      <w:r>
        <w:rPr>
          <w:rFonts w:hint="eastAsia" w:ascii="宋体" w:hAnsi="宋体"/>
          <w:color w:val="auto"/>
        </w:rPr>
        <w:t>公共</w:t>
      </w:r>
      <w:r>
        <w:rPr>
          <w:rFonts w:ascii="宋体" w:hAnsi="宋体"/>
          <w:color w:val="auto"/>
        </w:rPr>
        <w:t>服务经办人员，</w:t>
      </w:r>
      <w:r>
        <w:rPr>
          <w:rFonts w:hint="eastAsia" w:ascii="宋体" w:hAnsi="宋体"/>
          <w:color w:val="auto"/>
          <w:lang w:val="en-US" w:eastAsia="zh-CN"/>
        </w:rPr>
        <w:t>对于</w:t>
      </w:r>
      <w:r>
        <w:rPr>
          <w:rFonts w:ascii="宋体" w:hAnsi="宋体"/>
          <w:color w:val="auto"/>
        </w:rPr>
        <w:t>户籍或常住人口不足5万人</w:t>
      </w:r>
      <w:r>
        <w:rPr>
          <w:rFonts w:hint="eastAsia" w:ascii="宋体" w:hAnsi="宋体"/>
          <w:color w:val="auto"/>
          <w:lang w:val="en-US" w:eastAsia="zh-CN"/>
        </w:rPr>
        <w:t>的</w:t>
      </w:r>
      <w:r>
        <w:rPr>
          <w:rFonts w:ascii="宋体" w:hAnsi="宋体"/>
          <w:color w:val="auto"/>
        </w:rPr>
        <w:t>，可配备2名医保公共服务经办人员，</w:t>
      </w:r>
      <w:r>
        <w:rPr>
          <w:rFonts w:hint="eastAsia" w:ascii="宋体" w:hAnsi="宋体"/>
          <w:color w:val="auto"/>
          <w:lang w:val="en-US" w:eastAsia="zh-CN"/>
        </w:rPr>
        <w:t>对于</w:t>
      </w:r>
      <w:r>
        <w:rPr>
          <w:rFonts w:ascii="宋体" w:hAnsi="宋体"/>
          <w:color w:val="auto"/>
        </w:rPr>
        <w:t>户籍或常住人口5万人以上</w:t>
      </w:r>
      <w:r>
        <w:rPr>
          <w:rFonts w:hint="eastAsia" w:ascii="宋体" w:hAnsi="宋体"/>
          <w:color w:val="auto"/>
          <w:lang w:val="en-US" w:eastAsia="zh-CN"/>
        </w:rPr>
        <w:t>的，根据实际情况可</w:t>
      </w:r>
      <w:r>
        <w:rPr>
          <w:rFonts w:ascii="宋体" w:hAnsi="宋体"/>
          <w:color w:val="auto"/>
        </w:rPr>
        <w:t>适当增加1-3名医保公共服务经办人员。</w:t>
      </w:r>
    </w:p>
    <w:p w14:paraId="3412131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6</w:t>
      </w:r>
      <w:r>
        <w:rPr>
          <w:rFonts w:hint="eastAsia" w:ascii="黑体" w:hAnsi="黑体" w:eastAsia="黑体" w:cs="Times New Roman"/>
          <w:color w:val="auto"/>
          <w:szCs w:val="21"/>
        </w:rPr>
        <w:t>.2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岗位培训</w:t>
      </w:r>
    </w:p>
    <w:p w14:paraId="4BEDC8B8">
      <w:pPr>
        <w:spacing w:line="240" w:lineRule="auto"/>
        <w:ind w:firstLine="420" w:firstLineChars="200"/>
        <w:jc w:val="left"/>
        <w:rPr>
          <w:rFonts w:hint="eastAsia" w:ascii="宋体" w:hAnsi="宋体"/>
          <w:color w:val="auto"/>
        </w:rPr>
      </w:pPr>
      <w:r>
        <w:rPr>
          <w:rFonts w:ascii="宋体" w:hAnsi="宋体"/>
          <w:color w:val="auto"/>
        </w:rPr>
        <w:t>各乡镇（街道）</w:t>
      </w:r>
      <w:r>
        <w:rPr>
          <w:rFonts w:hint="eastAsia" w:ascii="宋体" w:hAnsi="宋体"/>
          <w:color w:val="auto"/>
          <w:lang w:val="en-US" w:eastAsia="zh-CN"/>
        </w:rPr>
        <w:t>应</w:t>
      </w:r>
      <w:r>
        <w:rPr>
          <w:rFonts w:ascii="宋体" w:hAnsi="宋体"/>
          <w:color w:val="auto"/>
        </w:rPr>
        <w:t>制定年度培训计划</w:t>
      </w:r>
      <w:r>
        <w:rPr>
          <w:rFonts w:hint="eastAsia" w:ascii="宋体" w:hAnsi="宋体"/>
          <w:color w:val="auto"/>
          <w:lang w:eastAsia="zh-CN"/>
        </w:rPr>
        <w:t>，</w:t>
      </w:r>
      <w:r>
        <w:rPr>
          <w:rFonts w:ascii="宋体" w:hAnsi="宋体"/>
          <w:color w:val="auto"/>
        </w:rPr>
        <w:t>加强人员培训工作</w:t>
      </w:r>
      <w:r>
        <w:rPr>
          <w:rFonts w:hint="eastAsia" w:ascii="宋体" w:hAnsi="宋体"/>
          <w:color w:val="auto"/>
          <w:lang w:eastAsia="zh-CN"/>
        </w:rPr>
        <w:t>；</w:t>
      </w:r>
      <w:r>
        <w:rPr>
          <w:rFonts w:hint="eastAsia" w:ascii="宋体" w:hAnsi="宋体"/>
          <w:color w:val="auto"/>
          <w:lang w:val="en-US" w:eastAsia="zh-CN"/>
        </w:rPr>
        <w:t>按时</w:t>
      </w:r>
      <w:r>
        <w:rPr>
          <w:rFonts w:ascii="宋体" w:hAnsi="宋体"/>
          <w:color w:val="auto"/>
        </w:rPr>
        <w:t>参加市、区级组织的集中培训。</w:t>
      </w:r>
    </w:p>
    <w:p w14:paraId="14C33EC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6</w:t>
      </w:r>
      <w:r>
        <w:rPr>
          <w:rFonts w:hint="eastAsia" w:ascii="黑体" w:hAnsi="黑体" w:eastAsia="黑体" w:cs="Times New Roman"/>
          <w:color w:val="auto"/>
          <w:szCs w:val="21"/>
        </w:rPr>
        <w:t>.3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服务形象</w:t>
      </w:r>
    </w:p>
    <w:p w14:paraId="4EF63608">
      <w:pPr>
        <w:spacing w:line="240" w:lineRule="auto"/>
        <w:ind w:firstLine="420" w:firstLineChars="200"/>
        <w:jc w:val="left"/>
        <w:rPr>
          <w:rFonts w:hint="eastAsia" w:ascii="宋体" w:hAnsi="宋体"/>
          <w:color w:val="auto"/>
        </w:rPr>
      </w:pPr>
      <w:r>
        <w:rPr>
          <w:rFonts w:ascii="宋体" w:hAnsi="宋体"/>
          <w:color w:val="auto"/>
        </w:rPr>
        <w:t>窗口服务人员应统一着装和佩戴工作牌，保持服装整洁，做到仪表举止端庄、大方、文明。服务用语按照《江苏省医疗保障公共服务文明用语规范》执行，不</w:t>
      </w:r>
      <w:r>
        <w:rPr>
          <w:rFonts w:hint="eastAsia" w:ascii="宋体" w:hAnsi="宋体"/>
          <w:color w:val="auto"/>
          <w:lang w:eastAsia="zh-CN"/>
        </w:rPr>
        <w:t>应</w:t>
      </w:r>
      <w:r>
        <w:rPr>
          <w:rFonts w:ascii="宋体" w:hAnsi="宋体"/>
          <w:color w:val="auto"/>
        </w:rPr>
        <w:t>使用服务忌语，不</w:t>
      </w:r>
      <w:r>
        <w:rPr>
          <w:rFonts w:hint="eastAsia" w:ascii="宋体" w:hAnsi="宋体"/>
          <w:color w:val="auto"/>
          <w:lang w:eastAsia="zh-CN"/>
        </w:rPr>
        <w:t>应</w:t>
      </w:r>
      <w:r>
        <w:rPr>
          <w:rFonts w:ascii="宋体" w:hAnsi="宋体"/>
          <w:color w:val="auto"/>
        </w:rPr>
        <w:t>使用伤害感情、激化矛盾、损害形象的语言。</w:t>
      </w:r>
    </w:p>
    <w:p w14:paraId="5BA1648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6</w:t>
      </w:r>
      <w:r>
        <w:rPr>
          <w:rFonts w:hint="eastAsia" w:ascii="黑体" w:hAnsi="黑体" w:eastAsia="黑体" w:cs="Times New Roman"/>
          <w:color w:val="auto"/>
          <w:szCs w:val="21"/>
        </w:rPr>
        <w:t>.4</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督查考核</w:t>
      </w:r>
    </w:p>
    <w:p w14:paraId="3318C7CC">
      <w:pPr>
        <w:spacing w:line="240" w:lineRule="auto"/>
        <w:ind w:firstLine="420" w:firstLineChars="200"/>
        <w:jc w:val="left"/>
        <w:rPr>
          <w:rFonts w:hint="eastAsia" w:ascii="宋体" w:hAnsi="宋体" w:eastAsia="宋体"/>
          <w:color w:val="auto"/>
          <w:lang w:eastAsia="zh-CN"/>
        </w:rPr>
      </w:pPr>
      <w:r>
        <w:rPr>
          <w:rFonts w:ascii="宋体" w:hAnsi="宋体"/>
          <w:color w:val="auto"/>
        </w:rPr>
        <w:t>加强对医保工作人员的督查考核，</w:t>
      </w:r>
      <w:r>
        <w:rPr>
          <w:rFonts w:hint="eastAsia" w:ascii="宋体" w:hAnsi="宋体"/>
          <w:color w:val="auto"/>
          <w:lang w:val="en-US" w:eastAsia="zh-CN"/>
        </w:rPr>
        <w:t>考核结果</w:t>
      </w:r>
      <w:r>
        <w:rPr>
          <w:rFonts w:ascii="宋体" w:hAnsi="宋体"/>
          <w:color w:val="auto"/>
        </w:rPr>
        <w:t>作为年度考核评优重要依据</w:t>
      </w:r>
      <w:r>
        <w:rPr>
          <w:rFonts w:hint="eastAsia" w:ascii="宋体" w:hAnsi="宋体"/>
          <w:color w:val="auto"/>
          <w:lang w:eastAsia="zh-CN"/>
        </w:rPr>
        <w:t>。</w:t>
      </w:r>
    </w:p>
    <w:p w14:paraId="6601A60F">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val="en-US" w:eastAsia="zh-CN"/>
        </w:rPr>
      </w:pPr>
      <w:r>
        <w:rPr>
          <w:rFonts w:hint="eastAsia" w:ascii="黑体" w:hAnsi="黑体" w:eastAsia="黑体"/>
          <w:b w:val="0"/>
          <w:bCs w:val="0"/>
          <w:color w:val="auto"/>
          <w:sz w:val="21"/>
          <w:szCs w:val="21"/>
          <w:lang w:val="en-US" w:eastAsia="zh-CN"/>
        </w:rPr>
        <w:t>7</w:t>
      </w:r>
      <w:r>
        <w:rPr>
          <w:rFonts w:ascii="黑体" w:hAnsi="黑体" w:eastAsia="黑体"/>
          <w:b w:val="0"/>
          <w:bCs w:val="0"/>
          <w:color w:val="auto"/>
          <w:sz w:val="21"/>
          <w:szCs w:val="21"/>
        </w:rPr>
        <w:t xml:space="preserve">  </w:t>
      </w:r>
      <w:r>
        <w:rPr>
          <w:rFonts w:hint="eastAsia" w:ascii="黑体" w:hAnsi="黑体" w:eastAsia="黑体"/>
          <w:b w:val="0"/>
          <w:bCs w:val="0"/>
          <w:color w:val="auto"/>
          <w:sz w:val="21"/>
          <w:szCs w:val="21"/>
        </w:rPr>
        <w:t>制度规范</w:t>
      </w:r>
    </w:p>
    <w:p w14:paraId="1877117D">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7</w:t>
      </w:r>
      <w:r>
        <w:rPr>
          <w:rFonts w:hint="eastAsia" w:ascii="黑体" w:hAnsi="黑体" w:eastAsia="黑体" w:cs="Times New Roman"/>
          <w:color w:val="auto"/>
          <w:szCs w:val="21"/>
        </w:rPr>
        <w:t>.1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首问负责制度</w:t>
      </w:r>
    </w:p>
    <w:p w14:paraId="32C5AB54">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.1.1</w:t>
      </w:r>
      <w:r>
        <w:rPr>
          <w:rFonts w:hint="eastAsia" w:ascii="黑体" w:hAnsi="黑体" w:eastAsia="黑体" w:cs="黑体"/>
          <w:color w:val="auto"/>
          <w:szCs w:val="21"/>
          <w:lang w:val="en-US" w:eastAsia="zh-CN"/>
        </w:rPr>
        <w:t xml:space="preserve"> </w:t>
      </w:r>
      <w:r>
        <w:rPr>
          <w:rFonts w:hint="eastAsia" w:ascii="宋体" w:hAnsi="宋体"/>
          <w:color w:val="auto"/>
          <w:szCs w:val="21"/>
        </w:rPr>
        <w:t>医保公共服务场所应公示首问负责制度。</w:t>
      </w:r>
    </w:p>
    <w:p w14:paraId="1958D51A">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.1.2</w:t>
      </w:r>
      <w:r>
        <w:rPr>
          <w:rFonts w:hint="eastAsia" w:ascii="宋体" w:hAnsi="宋体"/>
          <w:color w:val="auto"/>
          <w:szCs w:val="21"/>
          <w:lang w:val="en-US" w:eastAsia="zh-CN"/>
        </w:rPr>
        <w:t xml:space="preserve"> </w:t>
      </w:r>
      <w:r>
        <w:rPr>
          <w:rFonts w:hint="eastAsia" w:ascii="宋体" w:hAnsi="宋体"/>
          <w:color w:val="auto"/>
          <w:szCs w:val="21"/>
        </w:rPr>
        <w:t>首问负责人应按照有关规定对咨询人提出的咨询事项做出清晰明确答复。</w:t>
      </w:r>
    </w:p>
    <w:p w14:paraId="40C1E8BC">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.1.3</w:t>
      </w:r>
      <w:r>
        <w:rPr>
          <w:rFonts w:hint="eastAsia" w:ascii="宋体" w:hAnsi="宋体"/>
          <w:color w:val="auto"/>
          <w:szCs w:val="21"/>
          <w:lang w:val="en-US" w:eastAsia="zh-CN"/>
        </w:rPr>
        <w:t xml:space="preserve"> </w:t>
      </w:r>
      <w:r>
        <w:rPr>
          <w:rFonts w:hint="eastAsia" w:ascii="宋体" w:hAnsi="宋体"/>
          <w:color w:val="auto"/>
          <w:szCs w:val="21"/>
        </w:rPr>
        <w:t>工作人员现场不能答复的，应告知咨询人答复时间及其他咨询途径。</w:t>
      </w:r>
    </w:p>
    <w:p w14:paraId="06B479C6">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.1.4</w:t>
      </w:r>
      <w:r>
        <w:rPr>
          <w:rFonts w:hint="eastAsia" w:ascii="宋体" w:hAnsi="宋体"/>
          <w:color w:val="auto"/>
          <w:szCs w:val="21"/>
          <w:lang w:val="en-US" w:eastAsia="zh-CN"/>
        </w:rPr>
        <w:t xml:space="preserve"> </w:t>
      </w:r>
      <w:r>
        <w:rPr>
          <w:rFonts w:hint="eastAsia" w:ascii="宋体" w:hAnsi="宋体"/>
          <w:color w:val="auto"/>
          <w:szCs w:val="21"/>
        </w:rPr>
        <w:t>对不属于本岗位办理的事项应履行告知义务。</w:t>
      </w:r>
    </w:p>
    <w:p w14:paraId="6607317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7</w:t>
      </w:r>
      <w:r>
        <w:rPr>
          <w:rFonts w:hint="eastAsia" w:ascii="黑体" w:hAnsi="黑体" w:eastAsia="黑体" w:cs="Times New Roman"/>
          <w:color w:val="auto"/>
          <w:szCs w:val="21"/>
        </w:rPr>
        <w:t>.2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一次性告知制度</w:t>
      </w:r>
    </w:p>
    <w:p w14:paraId="5076F84F">
      <w:pPr>
        <w:spacing w:line="240" w:lineRule="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.2.1</w:t>
      </w:r>
      <w:r>
        <w:rPr>
          <w:rFonts w:hint="eastAsia" w:ascii="黑体" w:hAnsi="黑体" w:eastAsia="黑体" w:cs="黑体"/>
          <w:color w:val="auto"/>
          <w:szCs w:val="21"/>
          <w:lang w:val="en-US" w:eastAsia="zh-CN"/>
        </w:rPr>
        <w:t xml:space="preserve"> </w:t>
      </w:r>
      <w:r>
        <w:rPr>
          <w:rFonts w:hint="eastAsia" w:ascii="宋体" w:hAnsi="宋体"/>
          <w:color w:val="auto"/>
          <w:szCs w:val="21"/>
        </w:rPr>
        <w:t>窗口</w:t>
      </w:r>
      <w:r>
        <w:rPr>
          <w:rFonts w:hint="eastAsia" w:ascii="宋体" w:hAnsi="宋体"/>
          <w:color w:val="auto"/>
          <w:szCs w:val="21"/>
          <w:lang w:val="en-US" w:eastAsia="zh-CN"/>
        </w:rPr>
        <w:t>服务</w:t>
      </w:r>
      <w:r>
        <w:rPr>
          <w:rFonts w:hint="eastAsia" w:ascii="宋体" w:hAnsi="宋体"/>
          <w:color w:val="auto"/>
          <w:szCs w:val="21"/>
        </w:rPr>
        <w:t>人员在接受服务对象的咨询服务事项时</w:t>
      </w:r>
      <w:r>
        <w:rPr>
          <w:rFonts w:hint="eastAsia" w:ascii="宋体" w:hAnsi="宋体"/>
          <w:color w:val="auto"/>
          <w:szCs w:val="21"/>
          <w:lang w:eastAsia="zh-CN"/>
        </w:rPr>
        <w:t>，</w:t>
      </w:r>
      <w:r>
        <w:rPr>
          <w:rFonts w:hint="eastAsia" w:ascii="宋体" w:hAnsi="宋体"/>
          <w:color w:val="auto"/>
          <w:szCs w:val="21"/>
        </w:rPr>
        <w:t>应一次性书面告知办理事项所需要提交的申报材料、办理条件、程序和相关的政策等，主动提供示范文本、表格和资料。</w:t>
      </w:r>
    </w:p>
    <w:p w14:paraId="5234E06D">
      <w:pPr>
        <w:spacing w:line="240" w:lineRule="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.2.2</w:t>
      </w:r>
      <w:r>
        <w:rPr>
          <w:rFonts w:hint="eastAsia" w:ascii="黑体" w:hAnsi="黑体" w:eastAsia="黑体" w:cs="黑体"/>
          <w:color w:val="auto"/>
          <w:szCs w:val="21"/>
          <w:lang w:val="en-US" w:eastAsia="zh-CN"/>
        </w:rPr>
        <w:t xml:space="preserve"> </w:t>
      </w:r>
      <w:r>
        <w:rPr>
          <w:rFonts w:hint="eastAsia" w:ascii="宋体" w:hAnsi="宋体"/>
          <w:color w:val="auto"/>
          <w:szCs w:val="21"/>
        </w:rPr>
        <w:t>办理业务时，应一次性告知服务对象申请材料是否齐全以及如何补正、是否受理及其理由、是否需要实地核查等特殊程序以及下一步需要进行的程序等事项。</w:t>
      </w:r>
    </w:p>
    <w:p w14:paraId="2D959B5C">
      <w:pPr>
        <w:spacing w:line="240" w:lineRule="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.2.3</w:t>
      </w:r>
      <w:r>
        <w:rPr>
          <w:rFonts w:hint="eastAsia" w:ascii="黑体" w:hAnsi="黑体" w:eastAsia="黑体" w:cs="黑体"/>
          <w:color w:val="auto"/>
          <w:szCs w:val="21"/>
          <w:lang w:val="en-US" w:eastAsia="zh-CN"/>
        </w:rPr>
        <w:t xml:space="preserve"> </w:t>
      </w:r>
      <w:r>
        <w:rPr>
          <w:rFonts w:hint="eastAsia" w:ascii="宋体" w:hAnsi="宋体"/>
          <w:color w:val="auto"/>
          <w:szCs w:val="21"/>
        </w:rPr>
        <w:t>严格落实证明事项告知承诺制和容缺受理机制。</w:t>
      </w:r>
    </w:p>
    <w:p w14:paraId="54C890DB">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7</w:t>
      </w:r>
      <w:r>
        <w:rPr>
          <w:rFonts w:hint="eastAsia" w:ascii="黑体" w:hAnsi="黑体" w:eastAsia="黑体" w:cs="Times New Roman"/>
          <w:color w:val="auto"/>
          <w:szCs w:val="21"/>
        </w:rPr>
        <w:t>.3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限时办结制度</w:t>
      </w:r>
    </w:p>
    <w:p w14:paraId="6D7C6728">
      <w:pPr>
        <w:spacing w:line="240" w:lineRule="auto"/>
        <w:ind w:firstLine="420" w:firstLineChars="200"/>
        <w:rPr>
          <w:rFonts w:hint="eastAsia" w:ascii="宋体" w:hAnsi="宋体"/>
          <w:color w:val="auto"/>
        </w:rPr>
      </w:pPr>
      <w:r>
        <w:rPr>
          <w:rFonts w:hint="eastAsia" w:ascii="宋体" w:hAnsi="宋体"/>
          <w:color w:val="auto"/>
        </w:rPr>
        <w:t>所有办事时限</w:t>
      </w:r>
      <w:r>
        <w:rPr>
          <w:rFonts w:hint="eastAsia" w:ascii="宋体" w:hAnsi="宋体"/>
          <w:color w:val="auto"/>
          <w:lang w:val="en-US" w:eastAsia="zh-CN"/>
        </w:rPr>
        <w:t>均应</w:t>
      </w:r>
      <w:r>
        <w:rPr>
          <w:rFonts w:hint="eastAsia" w:ascii="宋体" w:hAnsi="宋体"/>
          <w:color w:val="auto"/>
        </w:rPr>
        <w:t>按照服务内容要求时限予以公布：对服务对象的申办事项能当场办理的，应立即办理；不能当场办理的，应告知服务对象办事时限及办理进度查询方式；不予受理的，应说明理由；对符合法定受理条件，且材料和手续齐备的事项，应在承诺时限内办结。</w:t>
      </w:r>
    </w:p>
    <w:p w14:paraId="56C7ABC9">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7</w:t>
      </w:r>
      <w:r>
        <w:rPr>
          <w:rFonts w:hint="eastAsia" w:ascii="黑体" w:hAnsi="黑体" w:eastAsia="黑体" w:cs="Times New Roman"/>
          <w:color w:val="auto"/>
          <w:szCs w:val="21"/>
        </w:rPr>
        <w:t>.4 AB岗制度</w:t>
      </w:r>
    </w:p>
    <w:p w14:paraId="5DB6F3BE">
      <w:pPr>
        <w:spacing w:line="240" w:lineRule="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.4.1</w:t>
      </w:r>
      <w:r>
        <w:rPr>
          <w:rFonts w:hint="eastAsia" w:ascii="黑体" w:hAnsi="黑体" w:eastAsia="黑体" w:cs="黑体"/>
          <w:color w:val="auto"/>
          <w:szCs w:val="21"/>
          <w:lang w:val="en-US" w:eastAsia="zh-CN"/>
        </w:rPr>
        <w:t xml:space="preserve"> </w:t>
      </w:r>
      <w:r>
        <w:rPr>
          <w:rFonts w:hint="eastAsia" w:ascii="宋体" w:hAnsi="宋体"/>
          <w:color w:val="auto"/>
          <w:szCs w:val="21"/>
        </w:rPr>
        <w:t>窗口应建立AB岗制度，设置AB角。</w:t>
      </w:r>
    </w:p>
    <w:p w14:paraId="0243C3DE">
      <w:pPr>
        <w:spacing w:line="240" w:lineRule="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.4.2</w:t>
      </w:r>
      <w:r>
        <w:rPr>
          <w:rFonts w:ascii="宋体" w:hAnsi="宋体"/>
          <w:color w:val="auto"/>
          <w:szCs w:val="21"/>
        </w:rPr>
        <w:t xml:space="preserve"> </w:t>
      </w:r>
      <w:r>
        <w:rPr>
          <w:rFonts w:hint="eastAsia" w:ascii="宋体" w:hAnsi="宋体"/>
          <w:color w:val="auto"/>
          <w:szCs w:val="21"/>
        </w:rPr>
        <w:t>应明确AB角工作人员本岗位的工作职责，AB角工作人员</w:t>
      </w:r>
      <w:r>
        <w:rPr>
          <w:rFonts w:hint="eastAsia" w:ascii="宋体" w:hAnsi="宋体"/>
          <w:color w:val="auto"/>
          <w:szCs w:val="21"/>
          <w:lang w:val="en-US" w:eastAsia="zh-CN"/>
        </w:rPr>
        <w:t>应</w:t>
      </w:r>
      <w:r>
        <w:rPr>
          <w:rFonts w:hint="eastAsia" w:ascii="宋体" w:hAnsi="宋体"/>
          <w:color w:val="auto"/>
          <w:szCs w:val="21"/>
        </w:rPr>
        <w:t>熟悉相关的法律法规、办事流程等。</w:t>
      </w:r>
    </w:p>
    <w:p w14:paraId="6951A3DA">
      <w:pPr>
        <w:spacing w:line="240" w:lineRule="auto"/>
        <w:rPr>
          <w:rFonts w:hint="eastAsia" w:ascii="宋体" w:hAnsi="宋体"/>
          <w:color w:val="auto"/>
          <w:szCs w:val="21"/>
        </w:rPr>
      </w:pPr>
      <w:r>
        <w:rPr>
          <w:rFonts w:hint="eastAsia" w:ascii="黑体" w:hAnsi="黑体" w:eastAsia="黑体" w:cs="黑体"/>
          <w:color w:val="auto"/>
          <w:szCs w:val="21"/>
          <w:lang w:val="en-US" w:eastAsia="zh-CN"/>
        </w:rPr>
        <w:t>7</w:t>
      </w:r>
      <w:r>
        <w:rPr>
          <w:rFonts w:hint="eastAsia" w:ascii="黑体" w:hAnsi="黑体" w:eastAsia="黑体" w:cs="黑体"/>
          <w:color w:val="auto"/>
          <w:szCs w:val="21"/>
        </w:rPr>
        <w:t>.4.3</w:t>
      </w:r>
      <w:r>
        <w:rPr>
          <w:rFonts w:hint="eastAsia" w:ascii="黑体" w:hAnsi="黑体" w:eastAsia="黑体" w:cs="黑体"/>
          <w:color w:val="auto"/>
          <w:szCs w:val="21"/>
          <w:lang w:val="en-US" w:eastAsia="zh-CN"/>
        </w:rPr>
        <w:t xml:space="preserve"> </w:t>
      </w:r>
      <w:r>
        <w:rPr>
          <w:rFonts w:hint="eastAsia" w:ascii="宋体" w:hAnsi="宋体"/>
          <w:color w:val="auto"/>
          <w:szCs w:val="21"/>
        </w:rPr>
        <w:t>窗口常驻工作人员（即A角）不在岗时，应由相同或相似岗位的工作人员（即B角）代行其职责。</w:t>
      </w:r>
    </w:p>
    <w:p w14:paraId="18B863BE">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7</w:t>
      </w:r>
      <w:r>
        <w:rPr>
          <w:rFonts w:hint="eastAsia" w:ascii="黑体" w:hAnsi="黑体" w:eastAsia="黑体" w:cs="Times New Roman"/>
          <w:color w:val="auto"/>
          <w:szCs w:val="21"/>
        </w:rPr>
        <w:t>.5 责任追究制度</w:t>
      </w:r>
    </w:p>
    <w:p w14:paraId="01198FAD">
      <w:pPr>
        <w:spacing w:line="240" w:lineRule="auto"/>
        <w:ind w:firstLine="420" w:firstLineChars="200"/>
        <w:jc w:val="left"/>
        <w:rPr>
          <w:rFonts w:hint="eastAsia" w:ascii="宋体" w:hAnsi="宋体"/>
          <w:color w:val="auto"/>
        </w:rPr>
      </w:pPr>
      <w:r>
        <w:rPr>
          <w:rFonts w:hint="eastAsia" w:ascii="宋体" w:hAnsi="宋体"/>
          <w:color w:val="auto"/>
        </w:rPr>
        <w:t>对违反首问负责制度、限时办结制度、一次性告知制度等规定，不依规履行或不正确履行职责</w:t>
      </w:r>
      <w:r>
        <w:rPr>
          <w:rFonts w:hint="eastAsia" w:ascii="宋体" w:hAnsi="宋体"/>
          <w:color w:val="auto"/>
          <w:lang w:val="en-US" w:eastAsia="zh-CN"/>
        </w:rPr>
        <w:t>等</w:t>
      </w:r>
      <w:r>
        <w:rPr>
          <w:rFonts w:hint="eastAsia" w:ascii="宋体" w:hAnsi="宋体"/>
          <w:color w:val="auto"/>
        </w:rPr>
        <w:t>行为</w:t>
      </w:r>
      <w:r>
        <w:rPr>
          <w:rFonts w:hint="eastAsia" w:ascii="宋体" w:hAnsi="宋体"/>
          <w:color w:val="auto"/>
          <w:lang w:val="en-US" w:eastAsia="zh-CN"/>
        </w:rPr>
        <w:t>的工作人员</w:t>
      </w:r>
      <w:r>
        <w:rPr>
          <w:rFonts w:hint="eastAsia" w:ascii="宋体" w:hAnsi="宋体"/>
          <w:color w:val="auto"/>
        </w:rPr>
        <w:t>，应给予责任追究。</w:t>
      </w:r>
    </w:p>
    <w:p w14:paraId="374E13BD">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val="en-US" w:eastAsia="zh-CN"/>
        </w:rPr>
      </w:pPr>
      <w:r>
        <w:rPr>
          <w:rFonts w:hint="eastAsia" w:ascii="黑体" w:hAnsi="黑体" w:eastAsia="黑体"/>
          <w:b w:val="0"/>
          <w:bCs w:val="0"/>
          <w:color w:val="auto"/>
          <w:sz w:val="21"/>
          <w:szCs w:val="21"/>
          <w:lang w:val="en-US" w:eastAsia="zh-CN"/>
        </w:rPr>
        <w:t>8</w:t>
      </w:r>
      <w:r>
        <w:rPr>
          <w:rFonts w:ascii="黑体" w:hAnsi="黑体" w:eastAsia="黑体"/>
          <w:b w:val="0"/>
          <w:bCs w:val="0"/>
          <w:color w:val="auto"/>
          <w:sz w:val="21"/>
          <w:szCs w:val="21"/>
        </w:rPr>
        <w:t xml:space="preserve">  </w:t>
      </w:r>
      <w:r>
        <w:rPr>
          <w:rFonts w:hint="eastAsia" w:ascii="黑体" w:hAnsi="黑体" w:eastAsia="黑体"/>
          <w:b w:val="0"/>
          <w:bCs w:val="0"/>
          <w:color w:val="auto"/>
          <w:sz w:val="21"/>
          <w:szCs w:val="21"/>
        </w:rPr>
        <w:t>监督评价和投诉处置</w:t>
      </w:r>
    </w:p>
    <w:p w14:paraId="162D9F1A">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8</w:t>
      </w:r>
      <w:r>
        <w:rPr>
          <w:rFonts w:hint="eastAsia" w:ascii="黑体" w:hAnsi="黑体" w:eastAsia="黑体" w:cs="Times New Roman"/>
          <w:color w:val="auto"/>
          <w:szCs w:val="21"/>
        </w:rPr>
        <w:t>.1</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建立机制</w:t>
      </w:r>
    </w:p>
    <w:p w14:paraId="7D3811B5">
      <w:pPr>
        <w:spacing w:line="240" w:lineRule="auto"/>
        <w:ind w:firstLine="420" w:firstLineChars="200"/>
        <w:jc w:val="left"/>
        <w:rPr>
          <w:rFonts w:hint="eastAsia" w:ascii="宋体" w:hAnsi="宋体"/>
          <w:color w:val="auto"/>
        </w:rPr>
      </w:pPr>
      <w:r>
        <w:rPr>
          <w:rFonts w:hint="eastAsia" w:ascii="宋体" w:hAnsi="宋体"/>
          <w:color w:val="auto"/>
        </w:rPr>
        <w:t>根据“好差评”制度和上级关于政务服务的相关要求，建立完善服务监督评价机制和投诉处置机制。</w:t>
      </w:r>
    </w:p>
    <w:p w14:paraId="7090E4B6">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8</w:t>
      </w:r>
      <w:r>
        <w:rPr>
          <w:rFonts w:hint="eastAsia" w:ascii="黑体" w:hAnsi="黑体" w:eastAsia="黑体" w:cs="Times New Roman"/>
          <w:color w:val="auto"/>
          <w:szCs w:val="21"/>
        </w:rPr>
        <w:t>.2</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评价方式和内容</w:t>
      </w:r>
    </w:p>
    <w:p w14:paraId="6774889D">
      <w:pPr>
        <w:spacing w:line="240" w:lineRule="auto"/>
        <w:ind w:firstLine="420" w:firstLineChars="200"/>
        <w:jc w:val="left"/>
        <w:rPr>
          <w:rFonts w:hint="eastAsia" w:ascii="宋体" w:hAnsi="宋体"/>
          <w:color w:val="auto"/>
        </w:rPr>
      </w:pPr>
      <w:r>
        <w:rPr>
          <w:rFonts w:hint="eastAsia" w:ascii="宋体" w:hAnsi="宋体"/>
          <w:color w:val="auto"/>
        </w:rPr>
        <w:t>通过窗口设置的评价器、群众意见箱等渠道，公布举报监督电话，针对工作人员服务能力、服务质量、工作纪律、行风形象等方面进行监督评价，实现服务事项全覆盖、评价对象全覆盖、服务渠道全覆盖。</w:t>
      </w:r>
    </w:p>
    <w:p w14:paraId="6615A742">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8</w:t>
      </w:r>
      <w:r>
        <w:rPr>
          <w:rFonts w:hint="eastAsia" w:ascii="黑体" w:hAnsi="黑体" w:eastAsia="黑体" w:cs="Times New Roman"/>
          <w:color w:val="auto"/>
          <w:szCs w:val="21"/>
        </w:rPr>
        <w:t>.3</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投诉方式和渠道</w:t>
      </w:r>
    </w:p>
    <w:p w14:paraId="4A4E47B9">
      <w:pPr>
        <w:spacing w:line="240" w:lineRule="auto"/>
        <w:rPr>
          <w:rFonts w:hint="eastAsia" w:ascii="宋体" w:hAnsi="宋体"/>
          <w:color w:val="auto"/>
          <w:szCs w:val="21"/>
        </w:rPr>
      </w:pPr>
      <w:r>
        <w:rPr>
          <w:rFonts w:hint="eastAsia" w:ascii="黑体" w:hAnsi="黑体" w:eastAsia="黑体" w:cs="黑体"/>
          <w:color w:val="auto"/>
          <w:szCs w:val="21"/>
          <w:lang w:val="en-US" w:eastAsia="zh-CN"/>
        </w:rPr>
        <w:t>8</w:t>
      </w:r>
      <w:r>
        <w:rPr>
          <w:rFonts w:hint="eastAsia" w:ascii="黑体" w:hAnsi="黑体" w:eastAsia="黑体" w:cs="黑体"/>
          <w:color w:val="auto"/>
          <w:szCs w:val="21"/>
        </w:rPr>
        <w:t>.3.1</w:t>
      </w:r>
      <w:r>
        <w:rPr>
          <w:rFonts w:hint="eastAsia" w:ascii="宋体" w:hAnsi="宋体"/>
          <w:color w:val="auto"/>
          <w:szCs w:val="21"/>
          <w:lang w:val="en-US" w:eastAsia="zh-CN"/>
        </w:rPr>
        <w:t xml:space="preserve"> </w:t>
      </w:r>
      <w:r>
        <w:rPr>
          <w:rFonts w:hint="eastAsia" w:ascii="宋体" w:hAnsi="宋体"/>
          <w:color w:val="auto"/>
          <w:szCs w:val="21"/>
        </w:rPr>
        <w:t>应公开投诉的意见箱、电话号码、网址、电子邮箱以及信函邮寄地址等，确保渠道畅通。</w:t>
      </w:r>
    </w:p>
    <w:p w14:paraId="6F3AE058">
      <w:pPr>
        <w:spacing w:line="240" w:lineRule="auto"/>
        <w:rPr>
          <w:rFonts w:hint="eastAsia" w:ascii="宋体" w:hAnsi="宋体"/>
          <w:color w:val="auto"/>
          <w:szCs w:val="21"/>
        </w:rPr>
      </w:pPr>
      <w:r>
        <w:rPr>
          <w:rFonts w:hint="eastAsia" w:ascii="黑体" w:hAnsi="黑体" w:eastAsia="黑体" w:cs="黑体"/>
          <w:color w:val="auto"/>
          <w:szCs w:val="21"/>
          <w:lang w:val="en-US" w:eastAsia="zh-CN"/>
        </w:rPr>
        <w:t>8</w:t>
      </w:r>
      <w:r>
        <w:rPr>
          <w:rFonts w:hint="eastAsia" w:ascii="黑体" w:hAnsi="黑体" w:eastAsia="黑体" w:cs="黑体"/>
          <w:color w:val="auto"/>
          <w:szCs w:val="21"/>
        </w:rPr>
        <w:t>.3.2</w:t>
      </w:r>
      <w:r>
        <w:rPr>
          <w:rFonts w:hint="eastAsia" w:ascii="宋体" w:hAnsi="宋体"/>
          <w:color w:val="auto"/>
          <w:szCs w:val="21"/>
          <w:lang w:val="en-US" w:eastAsia="zh-CN"/>
        </w:rPr>
        <w:t xml:space="preserve"> </w:t>
      </w:r>
      <w:r>
        <w:rPr>
          <w:rFonts w:hint="eastAsia" w:ascii="宋体" w:hAnsi="宋体"/>
          <w:color w:val="auto"/>
          <w:szCs w:val="21"/>
        </w:rPr>
        <w:t>投诉方式应包括但不限于现场投诉、电话投诉、网上投诉、信函投诉等。</w:t>
      </w:r>
    </w:p>
    <w:p w14:paraId="63B76E13">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textAlignment w:val="auto"/>
        <w:rPr>
          <w:rFonts w:hint="eastAsia" w:ascii="黑体" w:hAnsi="黑体" w:eastAsia="黑体" w:cs="Times New Roman"/>
          <w:color w:val="auto"/>
          <w:szCs w:val="21"/>
        </w:rPr>
      </w:pPr>
      <w:r>
        <w:rPr>
          <w:rFonts w:hint="eastAsia" w:ascii="黑体" w:hAnsi="黑体" w:eastAsia="黑体" w:cs="Times New Roman"/>
          <w:color w:val="auto"/>
          <w:szCs w:val="21"/>
          <w:lang w:val="en-US" w:eastAsia="zh-CN"/>
        </w:rPr>
        <w:t>8</w:t>
      </w:r>
      <w:r>
        <w:rPr>
          <w:rFonts w:hint="eastAsia" w:ascii="黑体" w:hAnsi="黑体" w:eastAsia="黑体" w:cs="Times New Roman"/>
          <w:color w:val="auto"/>
          <w:szCs w:val="21"/>
        </w:rPr>
        <w:t>.4</w:t>
      </w:r>
      <w:r>
        <w:rPr>
          <w:rFonts w:hint="eastAsia" w:ascii="黑体" w:hAnsi="黑体" w:eastAsia="黑体" w:cs="Times New Roman"/>
          <w:color w:val="auto"/>
          <w:szCs w:val="21"/>
          <w:lang w:val="en-US" w:eastAsia="zh-CN"/>
        </w:rPr>
        <w:t xml:space="preserve"> </w:t>
      </w:r>
      <w:r>
        <w:rPr>
          <w:rFonts w:hint="eastAsia" w:ascii="黑体" w:hAnsi="黑体" w:eastAsia="黑体" w:cs="Times New Roman"/>
          <w:color w:val="auto"/>
          <w:szCs w:val="21"/>
        </w:rPr>
        <w:t>评价结果处理</w:t>
      </w:r>
    </w:p>
    <w:p w14:paraId="2B8904ED">
      <w:pPr>
        <w:spacing w:line="240" w:lineRule="auto"/>
        <w:rPr>
          <w:rFonts w:hint="eastAsia" w:ascii="宋体" w:hAnsi="宋体"/>
          <w:color w:val="auto"/>
          <w:szCs w:val="21"/>
        </w:rPr>
      </w:pPr>
      <w:r>
        <w:rPr>
          <w:rFonts w:hint="eastAsia" w:ascii="黑体" w:hAnsi="黑体" w:eastAsia="黑体" w:cs="黑体"/>
          <w:color w:val="auto"/>
          <w:szCs w:val="21"/>
          <w:lang w:val="en-US" w:eastAsia="zh-CN"/>
        </w:rPr>
        <w:t>8</w:t>
      </w:r>
      <w:r>
        <w:rPr>
          <w:rFonts w:hint="eastAsia" w:ascii="黑体" w:hAnsi="黑体" w:eastAsia="黑体" w:cs="黑体"/>
          <w:color w:val="auto"/>
          <w:szCs w:val="21"/>
        </w:rPr>
        <w:t>.4.1</w:t>
      </w:r>
      <w:r>
        <w:rPr>
          <w:rFonts w:hint="eastAsia" w:ascii="宋体" w:hAnsi="宋体"/>
          <w:color w:val="auto"/>
          <w:szCs w:val="21"/>
          <w:lang w:val="en-US" w:eastAsia="zh-CN"/>
        </w:rPr>
        <w:t xml:space="preserve"> </w:t>
      </w:r>
      <w:r>
        <w:rPr>
          <w:rFonts w:hint="eastAsia" w:ascii="宋体" w:hAnsi="宋体"/>
          <w:color w:val="auto"/>
          <w:szCs w:val="21"/>
        </w:rPr>
        <w:t>建立问题调查核实、督促整改和反馈机制，明确问题核实方式、整改期限、反馈渠道等。</w:t>
      </w:r>
    </w:p>
    <w:p w14:paraId="377C94CC">
      <w:pPr>
        <w:spacing w:line="240" w:lineRule="auto"/>
        <w:rPr>
          <w:rFonts w:hint="eastAsia" w:ascii="宋体" w:hAnsi="宋体"/>
          <w:color w:val="auto"/>
          <w:szCs w:val="21"/>
        </w:rPr>
      </w:pPr>
      <w:r>
        <w:rPr>
          <w:rFonts w:hint="eastAsia" w:ascii="黑体" w:hAnsi="黑体" w:eastAsia="黑体" w:cs="黑体"/>
          <w:color w:val="auto"/>
          <w:szCs w:val="21"/>
          <w:lang w:val="en-US" w:eastAsia="zh-CN"/>
        </w:rPr>
        <w:t>8</w:t>
      </w:r>
      <w:r>
        <w:rPr>
          <w:rFonts w:hint="eastAsia" w:ascii="黑体" w:hAnsi="黑体" w:eastAsia="黑体" w:cs="黑体"/>
          <w:color w:val="auto"/>
          <w:szCs w:val="21"/>
        </w:rPr>
        <w:t>.4.2</w:t>
      </w:r>
      <w:r>
        <w:rPr>
          <w:rFonts w:hint="eastAsia" w:ascii="黑体" w:hAnsi="黑体" w:eastAsia="黑体" w:cs="黑体"/>
          <w:color w:val="auto"/>
          <w:szCs w:val="21"/>
          <w:lang w:val="en-US" w:eastAsia="zh-CN"/>
        </w:rPr>
        <w:t xml:space="preserve"> </w:t>
      </w:r>
      <w:r>
        <w:rPr>
          <w:rFonts w:hint="eastAsia" w:ascii="宋体" w:hAnsi="宋体"/>
          <w:color w:val="auto"/>
          <w:szCs w:val="21"/>
        </w:rPr>
        <w:t>综合运用好评价结果，将评价结果与工作人员考核奖惩相挂钩。</w:t>
      </w:r>
    </w:p>
    <w:p w14:paraId="57F085CC">
      <w:pPr>
        <w:spacing w:line="240" w:lineRule="auto"/>
        <w:rPr>
          <w:rFonts w:hint="eastAsia" w:ascii="Times New Roman" w:hAnsi="Times New Roman"/>
          <w:color w:val="auto"/>
          <w:sz w:val="24"/>
        </w:rPr>
      </w:pPr>
      <w:r>
        <w:rPr>
          <w:rFonts w:hint="eastAsia" w:ascii="黑体" w:hAnsi="黑体" w:eastAsia="黑体" w:cs="黑体"/>
          <w:color w:val="auto"/>
          <w:szCs w:val="21"/>
          <w:lang w:val="en-US" w:eastAsia="zh-CN"/>
        </w:rPr>
        <w:t>8</w:t>
      </w:r>
      <w:r>
        <w:rPr>
          <w:rFonts w:hint="eastAsia" w:ascii="黑体" w:hAnsi="黑体" w:eastAsia="黑体" w:cs="黑体"/>
          <w:color w:val="auto"/>
          <w:szCs w:val="21"/>
        </w:rPr>
        <w:t>.4.3</w:t>
      </w:r>
      <w:r>
        <w:rPr>
          <w:rFonts w:hint="eastAsia" w:ascii="黑体" w:hAnsi="黑体" w:eastAsia="黑体" w:cs="黑体"/>
          <w:color w:val="auto"/>
          <w:szCs w:val="21"/>
          <w:lang w:val="en-US" w:eastAsia="zh-CN"/>
        </w:rPr>
        <w:t xml:space="preserve"> </w:t>
      </w:r>
      <w:r>
        <w:rPr>
          <w:rFonts w:hint="eastAsia" w:ascii="宋体" w:hAnsi="宋体" w:eastAsia="宋体" w:cs="Times New Roman"/>
          <w:color w:val="auto"/>
          <w:szCs w:val="21"/>
          <w:lang w:val="en-US" w:eastAsia="zh-CN"/>
        </w:rPr>
        <w:t>按照GB/T 17242的规定受理服务对象投诉，应</w:t>
      </w:r>
      <w:r>
        <w:rPr>
          <w:rFonts w:hint="eastAsia" w:ascii="宋体" w:hAnsi="宋体" w:eastAsia="宋体" w:cs="Times New Roman"/>
          <w:color w:val="auto"/>
          <w:szCs w:val="21"/>
        </w:rPr>
        <w:t>及</w:t>
      </w:r>
      <w:r>
        <w:rPr>
          <w:rFonts w:hint="eastAsia" w:ascii="宋体" w:hAnsi="宋体"/>
          <w:color w:val="auto"/>
          <w:szCs w:val="21"/>
        </w:rPr>
        <w:t>时通过网络、公开栏、电话回复等方式公开反馈评价结果处理情况。</w:t>
      </w:r>
    </w:p>
    <w:p w14:paraId="104D728C">
      <w:pPr>
        <w:pStyle w:val="21"/>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jc w:val="left"/>
        <w:textAlignment w:val="auto"/>
        <w:rPr>
          <w:rFonts w:hint="eastAsia" w:ascii="黑体" w:hAnsi="黑体" w:eastAsia="黑体"/>
          <w:b w:val="0"/>
          <w:bCs w:val="0"/>
          <w:color w:val="auto"/>
          <w:sz w:val="21"/>
          <w:szCs w:val="21"/>
          <w:lang w:val="en-US" w:eastAsia="zh-CN"/>
        </w:rPr>
      </w:pPr>
      <w:r>
        <w:rPr>
          <w:rFonts w:hint="eastAsia" w:ascii="黑体" w:hAnsi="黑体" w:eastAsia="黑体"/>
          <w:b w:val="0"/>
          <w:bCs w:val="0"/>
          <w:color w:val="auto"/>
          <w:sz w:val="21"/>
          <w:szCs w:val="21"/>
          <w:lang w:val="en-US" w:eastAsia="zh-CN"/>
        </w:rPr>
        <w:t>9</w:t>
      </w:r>
      <w:r>
        <w:rPr>
          <w:rFonts w:ascii="黑体" w:hAnsi="黑体" w:eastAsia="黑体"/>
          <w:b w:val="0"/>
          <w:bCs w:val="0"/>
          <w:color w:val="auto"/>
          <w:sz w:val="21"/>
          <w:szCs w:val="21"/>
        </w:rPr>
        <w:t xml:space="preserve">  经费保障</w:t>
      </w:r>
    </w:p>
    <w:p w14:paraId="36182FC7">
      <w:pPr>
        <w:spacing w:line="240" w:lineRule="auto"/>
        <w:ind w:firstLine="420" w:firstLineChars="200"/>
        <w:jc w:val="left"/>
        <w:rPr>
          <w:rFonts w:ascii="宋体" w:hAnsi="宋体"/>
          <w:color w:val="auto"/>
        </w:rPr>
      </w:pPr>
      <w:r>
        <w:rPr>
          <w:rFonts w:ascii="宋体" w:hAnsi="宋体"/>
          <w:color w:val="auto"/>
        </w:rPr>
        <w:t>各乡镇（街道）</w:t>
      </w:r>
      <w:r>
        <w:rPr>
          <w:rFonts w:hint="eastAsia" w:ascii="宋体" w:hAnsi="宋体"/>
          <w:color w:val="auto"/>
          <w:lang w:val="en-US" w:eastAsia="zh-CN"/>
        </w:rPr>
        <w:t>应</w:t>
      </w:r>
      <w:r>
        <w:rPr>
          <w:rFonts w:ascii="宋体" w:hAnsi="宋体"/>
          <w:color w:val="auto"/>
        </w:rPr>
        <w:t>结合当地经济发展水平</w:t>
      </w:r>
      <w:r>
        <w:rPr>
          <w:rFonts w:hint="eastAsia" w:ascii="宋体" w:hAnsi="宋体"/>
          <w:color w:val="auto"/>
          <w:lang w:eastAsia="zh-CN"/>
        </w:rPr>
        <w:t>合理安排经费，保障医保公共服务正常运行</w:t>
      </w:r>
      <w:r>
        <w:rPr>
          <w:rFonts w:ascii="宋体" w:hAnsi="宋体"/>
          <w:color w:val="auto"/>
        </w:rPr>
        <w:t>。</w:t>
      </w:r>
      <w:bookmarkEnd w:id="18"/>
    </w:p>
    <w:p w14:paraId="4C5D475C">
      <w:pPr>
        <w:pStyle w:val="21"/>
        <w:jc w:val="left"/>
        <w:rPr>
          <w:color w:val="auto"/>
        </w:rPr>
        <w:sectPr>
          <w:footerReference r:id="rId15" w:type="default"/>
          <w:footerReference r:id="rId16" w:type="even"/>
          <w:pgSz w:w="11906" w:h="16838"/>
          <w:pgMar w:top="1928" w:right="1134" w:bottom="1134" w:left="1134" w:header="851" w:footer="992" w:gutter="0"/>
          <w:pgNumType w:fmt="decimal" w:start="1"/>
          <w:cols w:space="720" w:num="1"/>
          <w:docGrid w:type="lines" w:linePitch="312" w:charSpace="0"/>
        </w:sectPr>
      </w:pPr>
    </w:p>
    <w:p w14:paraId="2DD4F70E">
      <w:pPr>
        <w:keepNext w:val="0"/>
        <w:keepLines w:val="0"/>
        <w:pageBreakBefore w:val="0"/>
        <w:widowControl w:val="0"/>
        <w:kinsoku/>
        <w:wordWrap/>
        <w:overflowPunct/>
        <w:topLinePunct w:val="0"/>
        <w:autoSpaceDE/>
        <w:autoSpaceDN/>
        <w:bidi w:val="0"/>
        <w:adjustRightInd/>
        <w:snapToGrid/>
        <w:spacing w:after="100"/>
        <w:jc w:val="center"/>
        <w:textAlignment w:val="auto"/>
        <w:rPr>
          <w:rFonts w:hint="eastAsia" w:ascii="黑体" w:hAnsi="黑体" w:eastAsia="黑体" w:cs="黑体"/>
          <w:color w:val="auto"/>
          <w:lang w:eastAsia="zh-CN"/>
        </w:rPr>
      </w:pPr>
      <w:r>
        <w:rPr>
          <w:rFonts w:hint="eastAsia" w:ascii="黑体" w:hAnsi="黑体" w:eastAsia="黑体" w:cs="黑体"/>
          <w:color w:val="auto"/>
          <w:lang w:eastAsia="zh-CN"/>
        </w:rPr>
        <w:t>参考文献</w:t>
      </w:r>
    </w:p>
    <w:p w14:paraId="67BDF3F6">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rPr>
      </w:pPr>
      <w:r>
        <w:rPr>
          <w:rFonts w:hint="eastAsia" w:ascii="宋体" w:hAnsi="宋体"/>
          <w:color w:val="auto"/>
          <w:lang w:eastAsia="zh-CN"/>
        </w:rPr>
        <w:t>江苏省医疗保障局（</w:t>
      </w:r>
      <w:r>
        <w:rPr>
          <w:rFonts w:hint="eastAsia" w:ascii="宋体" w:hAnsi="宋体"/>
          <w:color w:val="auto"/>
        </w:rPr>
        <w:t>苏医保发〔2023〕40号</w:t>
      </w:r>
      <w:r>
        <w:rPr>
          <w:rFonts w:hint="eastAsia" w:ascii="宋体" w:hAnsi="宋体"/>
          <w:color w:val="auto"/>
          <w:lang w:eastAsia="zh-CN"/>
        </w:rPr>
        <w:t>）</w:t>
      </w:r>
      <w:r>
        <w:rPr>
          <w:rFonts w:hint="eastAsia" w:ascii="宋体" w:hAnsi="宋体"/>
          <w:color w:val="auto"/>
          <w:lang w:val="en-US" w:eastAsia="zh-CN"/>
        </w:rPr>
        <w:t xml:space="preserve"> </w:t>
      </w:r>
      <w:r>
        <w:rPr>
          <w:rFonts w:ascii="宋体" w:hAnsi="宋体"/>
          <w:color w:val="auto"/>
        </w:rPr>
        <w:t>《医疗保障经办政务服务事项清单和办事指南》</w:t>
      </w:r>
    </w:p>
    <w:p w14:paraId="01AEEA27">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rPr>
      </w:pPr>
      <w:r>
        <w:rPr>
          <w:rFonts w:ascii="宋体" w:hAnsi="宋体"/>
          <w:color w:val="auto"/>
        </w:rPr>
        <w:t>《全省医疗保障经办政务服务事项操作指引》</w:t>
      </w:r>
    </w:p>
    <w:p w14:paraId="07841537">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rPr>
      </w:pPr>
      <w:r>
        <w:rPr>
          <w:rFonts w:hint="eastAsia" w:ascii="宋体" w:hAnsi="宋体"/>
          <w:color w:val="auto"/>
          <w:lang w:eastAsia="zh-CN"/>
        </w:rPr>
        <w:t>江苏省医疗保障局（</w:t>
      </w:r>
      <w:r>
        <w:rPr>
          <w:rFonts w:hint="eastAsia" w:ascii="宋体" w:hAnsi="宋体"/>
          <w:color w:val="auto"/>
        </w:rPr>
        <w:t>苏医保发〔2020〕101号</w:t>
      </w:r>
      <w:r>
        <w:rPr>
          <w:rFonts w:hint="eastAsia" w:ascii="宋体" w:hAnsi="宋体"/>
          <w:color w:val="auto"/>
          <w:lang w:eastAsia="zh-CN"/>
        </w:rPr>
        <w:t>）</w:t>
      </w:r>
      <w:r>
        <w:rPr>
          <w:rFonts w:hint="eastAsia" w:ascii="宋体" w:hAnsi="宋体"/>
          <w:color w:val="auto"/>
          <w:lang w:val="en-US" w:eastAsia="zh-CN"/>
        </w:rPr>
        <w:t xml:space="preserve"> </w:t>
      </w:r>
      <w:r>
        <w:rPr>
          <w:rFonts w:ascii="宋体" w:hAnsi="宋体"/>
          <w:color w:val="auto"/>
        </w:rPr>
        <w:t>《江苏省医疗保障经办服务规范（试行）》</w:t>
      </w:r>
    </w:p>
    <w:p w14:paraId="66BB581A">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rPr>
      </w:pPr>
      <w:r>
        <w:rPr>
          <w:rFonts w:hint="eastAsia" w:ascii="宋体" w:hAnsi="宋体"/>
          <w:color w:val="auto"/>
          <w:lang w:eastAsia="zh-CN"/>
        </w:rPr>
        <w:t>江苏省医疗保障局（</w:t>
      </w:r>
      <w:r>
        <w:rPr>
          <w:rFonts w:hint="eastAsia" w:ascii="宋体" w:hAnsi="宋体"/>
          <w:color w:val="auto"/>
        </w:rPr>
        <w:t>苏医保办发〔2020〕35号</w:t>
      </w:r>
      <w:r>
        <w:rPr>
          <w:rFonts w:hint="eastAsia" w:ascii="宋体" w:hAnsi="宋体"/>
          <w:color w:val="auto"/>
          <w:lang w:eastAsia="zh-CN"/>
        </w:rPr>
        <w:t>）</w:t>
      </w:r>
      <w:r>
        <w:rPr>
          <w:rFonts w:hint="eastAsia" w:ascii="宋体" w:hAnsi="宋体"/>
          <w:color w:val="auto"/>
          <w:lang w:val="en-US" w:eastAsia="zh-CN"/>
        </w:rPr>
        <w:t xml:space="preserve"> </w:t>
      </w:r>
      <w:r>
        <w:rPr>
          <w:rFonts w:ascii="宋体" w:hAnsi="宋体"/>
          <w:color w:val="auto"/>
        </w:rPr>
        <w:t>《江苏省医疗保障公共服务文明用语规范》</w:t>
      </w:r>
    </w:p>
    <w:p w14:paraId="2D9E64EA">
      <w:pPr>
        <w:pStyle w:val="233"/>
        <w:framePr w:wrap="around" w:vAnchor="text" w:hAnchor="page" w:x="3956" w:y="506"/>
        <w:spacing w:before="156" w:after="156"/>
        <w:rPr>
          <w:color w:val="auto"/>
        </w:rPr>
      </w:pPr>
      <w:r>
        <w:rPr>
          <w:color w:val="auto"/>
        </w:rPr>
        <w:t>_________________________________</w:t>
      </w:r>
    </w:p>
    <w:p w14:paraId="599663CF">
      <w:pPr>
        <w:keepNext w:val="0"/>
        <w:keepLines w:val="0"/>
        <w:pageBreakBefore w:val="0"/>
        <w:widowControl w:val="0"/>
        <w:numPr>
          <w:ilvl w:val="0"/>
          <w:numId w:val="32"/>
        </w:numPr>
        <w:kinsoku/>
        <w:wordWrap/>
        <w:overflowPunct/>
        <w:topLinePunct w:val="0"/>
        <w:autoSpaceDE/>
        <w:autoSpaceDN/>
        <w:bidi w:val="0"/>
        <w:adjustRightInd/>
        <w:snapToGrid/>
        <w:spacing w:line="240" w:lineRule="auto"/>
        <w:ind w:firstLine="420" w:firstLineChars="200"/>
        <w:jc w:val="left"/>
        <w:textAlignment w:val="auto"/>
        <w:rPr>
          <w:rFonts w:hint="eastAsia" w:ascii="宋体" w:hAnsi="宋体" w:eastAsia="宋体" w:cs="宋体"/>
          <w:color w:val="auto"/>
        </w:rPr>
      </w:pPr>
      <w:r>
        <w:rPr>
          <w:rFonts w:hint="eastAsia" w:ascii="宋体" w:hAnsi="宋体" w:eastAsia="宋体" w:cs="宋体"/>
          <w:color w:val="auto"/>
        </w:rPr>
        <w:t>医疗保障经办大厅设置与服务规范</w:t>
      </w:r>
      <w:r>
        <w:rPr>
          <w:rFonts w:hint="eastAsia" w:ascii="宋体" w:hAnsi="宋体" w:eastAsia="宋体" w:cs="Times New Roman"/>
          <w:color w:val="auto"/>
        </w:rPr>
        <w:t>（试行）（医保办发〔2021〕17号）</w:t>
      </w:r>
    </w:p>
    <w:p w14:paraId="35F5C1FA">
      <w:pPr>
        <w:jc w:val="both"/>
        <w:rPr>
          <w:rFonts w:hint="default"/>
          <w:color w:val="auto"/>
          <w:lang w:val="en-US" w:eastAsia="zh-CN"/>
        </w:rPr>
      </w:pPr>
    </w:p>
    <w:p w14:paraId="7B3CEE6E">
      <w:pPr>
        <w:rPr>
          <w:rFonts w:hint="eastAsia"/>
          <w:color w:val="auto"/>
        </w:rPr>
      </w:pPr>
    </w:p>
    <w:p w14:paraId="4E0B6EE4">
      <w:pPr>
        <w:pStyle w:val="57"/>
        <w:ind w:firstLine="0" w:firstLineChars="0"/>
        <w:jc w:val="center"/>
      </w:pPr>
    </w:p>
    <w:sectPr>
      <w:pgSz w:w="11906" w:h="16838"/>
      <w:pgMar w:top="1928" w:right="1134" w:bottom="1134" w:left="1134" w:header="851" w:footer="992" w:gutter="0"/>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Light">
    <w:altName w:val="宋体"/>
    <w:panose1 w:val="02010600030101010101"/>
    <w:charset w:val="86"/>
    <w:family w:val="roman"/>
    <w:pitch w:val="default"/>
    <w:sig w:usb0="00000000" w:usb1="00000000" w:usb2="00000016" w:usb3="00000000" w:csb0="0004000F"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4590A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FC747">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51529">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6045C">
    <w:pPr>
      <w:pStyle w:val="17"/>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5C9DCDE">
                          <w:pPr>
                            <w:pStyle w:val="1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14:paraId="05C9DCDE">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4883A2">
    <w:pPr>
      <w:pStyle w:val="17"/>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93676E">
                          <w:pPr>
                            <w:pStyle w:val="1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2693676E">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C9022">
    <w:pPr>
      <w:pStyle w:val="17"/>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047345">
                          <w:pPr>
                            <w:pStyle w:val="17"/>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5F047345">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D3CE9">
    <w:pPr>
      <w:pStyle w:val="17"/>
    </w:pPr>
    <w:r>
      <w:rPr>
        <w:sz w:val="18"/>
      </w:rP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596813">
                          <w:pPr>
                            <w:pStyle w:val="17"/>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6F596813">
                    <w:pPr>
                      <w:pStyle w:val="17"/>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DD26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9C183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ADD4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2F65A">
    <w:pPr>
      <w:pStyle w:val="234"/>
    </w:pPr>
  </w:p>
  <w:p w14:paraId="71EC9E1D">
    <w:pPr>
      <w:pStyle w:val="234"/>
      <w:jc w:val="right"/>
      <w:rPr>
        <w:rFonts w:hint="eastAsia"/>
      </w:rPr>
    </w:pPr>
    <w:r>
      <w:rPr>
        <w:rFonts w:hint="eastAsia"/>
      </w:rPr>
      <w:t xml:space="preserve">DB3213/T </w:t>
    </w:r>
    <w:r>
      <w:rPr>
        <w:rFonts w:hint="eastAsia"/>
        <w:lang w:val="en-US" w:eastAsia="zh-CN"/>
      </w:rPr>
      <w:t>XXXX</w:t>
    </w:r>
    <w:r>
      <w:t>—</w:t>
    </w:r>
    <w:r>
      <w:rPr>
        <w:rFonts w:hint="eastAsia"/>
      </w:rPr>
      <w:t>202</w:t>
    </w:r>
    <w:r>
      <w:rPr>
        <w:rFonts w:hint="eastAsia"/>
        <w:lang w:val="en-US" w:eastAsia="zh-CN"/>
      </w:rPr>
      <w:t>4</w:t>
    </w:r>
    <w:r>
      <w:rPr>
        <w:rFonts w:hAnsi="黑体" w:cs="宋体"/>
        <w:b/>
        <w:sz w:val="60"/>
        <w:szCs w:val="60"/>
        <w:lang w:val="zh-CN"/>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A1B84">
    <w:pPr>
      <w:tabs>
        <w:tab w:val="center" w:pos="4153"/>
        <w:tab w:val="right" w:pos="8306"/>
      </w:tabs>
      <w:snapToGrid w:val="0"/>
      <w:jc w:val="right"/>
      <w:rPr>
        <w:kern w:val="0"/>
        <w:szCs w:val="21"/>
      </w:rPr>
    </w:pPr>
  </w:p>
  <w:p w14:paraId="1029CD09">
    <w:pPr>
      <w:pStyle w:val="1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5D858AD"/>
    <w:multiLevelType w:val="singleLevel"/>
    <w:tmpl w:val="45D858AD"/>
    <w:lvl w:ilvl="0" w:tentative="0">
      <w:start w:val="1"/>
      <w:numFmt w:val="decimal"/>
      <w:lvlText w:val="[%1]"/>
      <w:lvlJc w:val="left"/>
      <w:pPr>
        <w:tabs>
          <w:tab w:val="left" w:pos="312"/>
        </w:tabs>
      </w:pPr>
    </w:lvl>
  </w:abstractNum>
  <w:abstractNum w:abstractNumId="14">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1"/>
  </w:num>
  <w:num w:numId="13">
    <w:abstractNumId w:val="12"/>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Full" w:cryptAlgorithmClass="hash" w:cryptAlgorithmType="typeAny" w:cryptAlgorithmSid="4" w:cryptSpinCount="100000" w:hash="WxT4wcy/2l4EJCsAD88EpQQDTYw=" w:salt="ZAYnOTvU64lPYU/JdUio4g=="/>
  <w:defaultTabStop w:val="420"/>
  <w:evenAndOddHeaders w:val="1"/>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E1MWNhOTYxOTBjOWU4NmZmYmJlODM2YTM0Y2FmM2EifQ=="/>
  </w:docVars>
  <w:rsids>
    <w:rsidRoot w:val="00EF498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EF5"/>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3608"/>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467"/>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1BF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1BB1"/>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8799C"/>
    <w:rsid w:val="00291683"/>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9C2"/>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07E"/>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63EF"/>
    <w:rsid w:val="00527AB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44DA"/>
    <w:rsid w:val="005801E3"/>
    <w:rsid w:val="00581802"/>
    <w:rsid w:val="00581A35"/>
    <w:rsid w:val="005836A8"/>
    <w:rsid w:val="0058409C"/>
    <w:rsid w:val="00584262"/>
    <w:rsid w:val="00586630"/>
    <w:rsid w:val="00587ADD"/>
    <w:rsid w:val="00591E27"/>
    <w:rsid w:val="00596160"/>
    <w:rsid w:val="005966E2"/>
    <w:rsid w:val="00597007"/>
    <w:rsid w:val="005A0966"/>
    <w:rsid w:val="005A11B7"/>
    <w:rsid w:val="005A260B"/>
    <w:rsid w:val="005A4A1B"/>
    <w:rsid w:val="005A691A"/>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244F"/>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F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5C6"/>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F4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4A95"/>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B39"/>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252"/>
    <w:rsid w:val="00941F92"/>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6E6"/>
    <w:rsid w:val="00A67866"/>
    <w:rsid w:val="00A70B07"/>
    <w:rsid w:val="00A723F8"/>
    <w:rsid w:val="00A768C6"/>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88D"/>
    <w:rsid w:val="00B04654"/>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BA6"/>
    <w:rsid w:val="00B50E50"/>
    <w:rsid w:val="00B52120"/>
    <w:rsid w:val="00B54ABC"/>
    <w:rsid w:val="00B54DDE"/>
    <w:rsid w:val="00B56FBE"/>
    <w:rsid w:val="00B60ACF"/>
    <w:rsid w:val="00B62B58"/>
    <w:rsid w:val="00B65149"/>
    <w:rsid w:val="00B66567"/>
    <w:rsid w:val="00B66F52"/>
    <w:rsid w:val="00B66FE5"/>
    <w:rsid w:val="00B72880"/>
    <w:rsid w:val="00B73009"/>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5ED3"/>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7C2"/>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06A"/>
    <w:rsid w:val="00E3137A"/>
    <w:rsid w:val="00E32CCF"/>
    <w:rsid w:val="00E34A98"/>
    <w:rsid w:val="00E35D1E"/>
    <w:rsid w:val="00E364F9"/>
    <w:rsid w:val="00E365FA"/>
    <w:rsid w:val="00E36789"/>
    <w:rsid w:val="00E41479"/>
    <w:rsid w:val="00E43B6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863DE"/>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4648"/>
    <w:rsid w:val="00EF4980"/>
    <w:rsid w:val="00EF613C"/>
    <w:rsid w:val="00EF7E72"/>
    <w:rsid w:val="00F05DD8"/>
    <w:rsid w:val="00F06D37"/>
    <w:rsid w:val="00F07B9D"/>
    <w:rsid w:val="00F11586"/>
    <w:rsid w:val="00F1183B"/>
    <w:rsid w:val="00F11C9F"/>
    <w:rsid w:val="00F12263"/>
    <w:rsid w:val="00F1409D"/>
    <w:rsid w:val="00F14214"/>
    <w:rsid w:val="00F157A9"/>
    <w:rsid w:val="00F2160A"/>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6618"/>
    <w:rsid w:val="00FD7299"/>
    <w:rsid w:val="00FE1FBE"/>
    <w:rsid w:val="00FE3901"/>
    <w:rsid w:val="00FE39D3"/>
    <w:rsid w:val="00FE4BCE"/>
    <w:rsid w:val="00FE54AE"/>
    <w:rsid w:val="00FE576A"/>
    <w:rsid w:val="00FE7E79"/>
    <w:rsid w:val="00FF3E7D"/>
    <w:rsid w:val="00FF5B99"/>
    <w:rsid w:val="00FF730C"/>
    <w:rsid w:val="00FF73F4"/>
    <w:rsid w:val="00FF7CE4"/>
    <w:rsid w:val="00FF7E39"/>
    <w:rsid w:val="0EDC33F7"/>
    <w:rsid w:val="4A7D6F43"/>
    <w:rsid w:val="67397853"/>
    <w:rsid w:val="68ED3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autoRedefine/>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6"/>
    <w:autoRedefine/>
    <w:semiHidden/>
    <w:unhideWhenUsed/>
    <w:qFormat/>
    <w:uiPriority w:val="99"/>
    <w:rPr>
      <w:sz w:val="18"/>
      <w:szCs w:val="18"/>
    </w:rPr>
  </w:style>
  <w:style w:type="paragraph" w:styleId="17">
    <w:name w:val="footer"/>
    <w:basedOn w:val="1"/>
    <w:link w:val="45"/>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Subtitle"/>
    <w:basedOn w:val="1"/>
    <w:next w:val="1"/>
    <w:qFormat/>
    <w:uiPriority w:val="0"/>
    <w:pPr>
      <w:spacing w:before="240" w:after="60" w:line="312" w:lineRule="auto"/>
      <w:jc w:val="center"/>
      <w:outlineLvl w:val="1"/>
    </w:pPr>
    <w:rPr>
      <w:rFonts w:ascii="等线 Light" w:hAnsi="等线 Light" w:cs="Times New Roman"/>
      <w:b/>
      <w:bCs/>
      <w:kern w:val="28"/>
      <w:sz w:val="32"/>
      <w:szCs w:val="32"/>
    </w:rPr>
  </w:style>
  <w:style w:type="paragraph" w:styleId="22">
    <w:name w:val="footnote text"/>
    <w:basedOn w:val="1"/>
    <w:next w:val="1"/>
    <w:link w:val="100"/>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49"/>
    <w:autoRedefine/>
    <w:qFormat/>
    <w:uiPriority w:val="0"/>
    <w:pPr>
      <w:spacing w:before="240" w:after="60"/>
      <w:jc w:val="center"/>
      <w:outlineLvl w:val="0"/>
    </w:pPr>
    <w:rPr>
      <w:rFonts w:ascii="Arial" w:hAnsi="Arial" w:cs="Arial"/>
      <w:b/>
      <w:bCs/>
      <w:sz w:val="32"/>
      <w:szCs w:val="32"/>
    </w:rPr>
  </w:style>
  <w:style w:type="table" w:styleId="28">
    <w:name w:val="Table Grid"/>
    <w:basedOn w:val="2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autoRedefine/>
    <w:qFormat/>
    <w:uiPriority w:val="22"/>
    <w:rPr>
      <w:b/>
      <w:bCs/>
    </w:rPr>
  </w:style>
  <w:style w:type="character" w:styleId="31">
    <w:name w:val="page number"/>
    <w:autoRedefine/>
    <w:qFormat/>
    <w:uiPriority w:val="0"/>
    <w:rPr>
      <w:rFonts w:ascii="宋体" w:hAnsi="Times New Roman" w:eastAsia="宋体"/>
      <w:sz w:val="18"/>
    </w:rPr>
  </w:style>
  <w:style w:type="character" w:styleId="32">
    <w:name w:val="Emphasis"/>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autoRedefin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autoRedefine/>
    <w:qFormat/>
    <w:uiPriority w:val="0"/>
    <w:rPr>
      <w:rFonts w:ascii="Arial" w:hAnsi="Arial" w:eastAsia="黑体"/>
      <w:b/>
      <w:bCs/>
      <w:kern w:val="2"/>
      <w:sz w:val="32"/>
      <w:szCs w:val="32"/>
    </w:rPr>
  </w:style>
  <w:style w:type="character" w:customStyle="1" w:styleId="37">
    <w:name w:val="标题 3 Char"/>
    <w:link w:val="4"/>
    <w:autoRedefine/>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autoRedefine/>
    <w:qFormat/>
    <w:uiPriority w:val="0"/>
    <w:rPr>
      <w:b/>
      <w:bCs/>
      <w:kern w:val="2"/>
      <w:sz w:val="28"/>
      <w:szCs w:val="28"/>
    </w:rPr>
  </w:style>
  <w:style w:type="character" w:customStyle="1" w:styleId="40">
    <w:name w:val="标题 6 Char"/>
    <w:link w:val="7"/>
    <w:autoRedefine/>
    <w:qFormat/>
    <w:uiPriority w:val="0"/>
    <w:rPr>
      <w:rFonts w:ascii="Arial" w:hAnsi="Arial" w:eastAsia="黑体"/>
      <w:b/>
      <w:bCs/>
      <w:kern w:val="2"/>
      <w:sz w:val="24"/>
      <w:szCs w:val="24"/>
    </w:rPr>
  </w:style>
  <w:style w:type="character" w:customStyle="1" w:styleId="41">
    <w:name w:val="标题 7 Char"/>
    <w:link w:val="8"/>
    <w:autoRedefine/>
    <w:qFormat/>
    <w:uiPriority w:val="0"/>
    <w:rPr>
      <w:b/>
      <w:bCs/>
      <w:kern w:val="2"/>
      <w:sz w:val="24"/>
      <w:szCs w:val="24"/>
    </w:rPr>
  </w:style>
  <w:style w:type="character" w:customStyle="1" w:styleId="42">
    <w:name w:val="标题 8 Char"/>
    <w:link w:val="9"/>
    <w:autoRedefine/>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qFormat/>
    <w:uiPriority w:val="99"/>
    <w:rPr>
      <w:kern w:val="2"/>
      <w:sz w:val="18"/>
      <w:szCs w:val="18"/>
    </w:rPr>
  </w:style>
  <w:style w:type="character" w:customStyle="1" w:styleId="45">
    <w:name w:val="页脚 Char"/>
    <w:link w:val="17"/>
    <w:qFormat/>
    <w:uiPriority w:val="99"/>
    <w:rPr>
      <w:rFonts w:ascii="宋体"/>
      <w:kern w:val="2"/>
      <w:sz w:val="18"/>
      <w:szCs w:val="18"/>
    </w:rPr>
  </w:style>
  <w:style w:type="character" w:customStyle="1" w:styleId="46">
    <w:name w:val="批注框文本 Char"/>
    <w:link w:val="16"/>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autoRedefine/>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Subtle Referenc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kern w:val="2"/>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50" w:beforeLines="50" w:after="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autoRedefine/>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autoRedefine/>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autoRedefine/>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autoRedefine/>
    <w:semiHidden/>
    <w:qFormat/>
    <w:uiPriority w:val="0"/>
    <w:pPr>
      <w:spacing w:line="240" w:lineRule="auto"/>
    </w:pPr>
    <w:rPr>
      <w:rFonts w:ascii="宋体" w:hAnsi="宋体"/>
      <w:iCs/>
    </w:rPr>
  </w:style>
  <w:style w:type="paragraph" w:customStyle="1" w:styleId="145">
    <w:name w:val="目录 41"/>
    <w:basedOn w:val="1"/>
    <w:next w:val="1"/>
    <w:autoRedefine/>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autoRedefine/>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autoRedefine/>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autoRedefine/>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autoRedefine/>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autoRedefine/>
    <w:qFormat/>
    <w:uiPriority w:val="0"/>
    <w:pPr>
      <w:numPr>
        <w:ilvl w:val="6"/>
        <w:numId w:val="20"/>
      </w:numPr>
      <w:adjustRightInd/>
    </w:pPr>
    <w:rPr>
      <w:szCs w:val="24"/>
    </w:rPr>
  </w:style>
  <w:style w:type="paragraph" w:customStyle="1" w:styleId="160">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1">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autoRedefine/>
    <w:qFormat/>
    <w:uiPriority w:val="0"/>
    <w:pPr>
      <w:spacing w:before="0" w:beforeLines="0" w:after="0" w:afterLines="0"/>
      <w:outlineLvl w:val="9"/>
    </w:pPr>
    <w:rPr>
      <w:rFonts w:ascii="宋体" w:eastAsia="宋体"/>
    </w:rPr>
  </w:style>
  <w:style w:type="paragraph" w:customStyle="1" w:styleId="164">
    <w:name w:val="标准文件_五级无标题"/>
    <w:basedOn w:val="104"/>
    <w:autoRedefine/>
    <w:qFormat/>
    <w:uiPriority w:val="0"/>
    <w:pPr>
      <w:spacing w:before="0" w:beforeLines="0" w:after="0" w:afterLines="0"/>
      <w:outlineLvl w:val="9"/>
    </w:pPr>
    <w:rPr>
      <w:rFonts w:ascii="宋体" w:eastAsia="宋体"/>
    </w:rPr>
  </w:style>
  <w:style w:type="paragraph" w:customStyle="1" w:styleId="165">
    <w:name w:val="标准文件_三级无标题"/>
    <w:basedOn w:val="95"/>
    <w:autoRedefine/>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autoRedefine/>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autoRedefine/>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autoRedefine/>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autoRedefine/>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autoRedefine/>
    <w:qFormat/>
    <w:uiPriority w:val="0"/>
    <w:rPr>
      <w:rFonts w:ascii="宋体" w:hAnsi="Times New Roman"/>
      <w:sz w:val="21"/>
    </w:rPr>
  </w:style>
  <w:style w:type="paragraph" w:customStyle="1" w:styleId="186">
    <w:name w:val="标准文件_表格续"/>
    <w:basedOn w:val="57"/>
    <w:next w:val="57"/>
    <w:autoRedefine/>
    <w:qFormat/>
    <w:uiPriority w:val="0"/>
    <w:pPr>
      <w:jc w:val="center"/>
    </w:pPr>
    <w:rPr>
      <w:rFonts w:ascii="黑体" w:hAnsi="黑体" w:eastAsia="黑体"/>
    </w:rPr>
  </w:style>
  <w:style w:type="character" w:styleId="187">
    <w:name w:val="Placeholder Text"/>
    <w:basedOn w:val="29"/>
    <w:autoRedefine/>
    <w:semiHidden/>
    <w:qFormat/>
    <w:uiPriority w:val="99"/>
    <w:rPr>
      <w:color w:val="808080"/>
    </w:rPr>
  </w:style>
  <w:style w:type="paragraph" w:customStyle="1" w:styleId="188">
    <w:name w:val="标准文件_二级项2"/>
    <w:basedOn w:val="57"/>
    <w:autoRedefine/>
    <w:qFormat/>
    <w:uiPriority w:val="0"/>
    <w:pPr>
      <w:numPr>
        <w:ilvl w:val="1"/>
        <w:numId w:val="21"/>
      </w:numPr>
      <w:ind w:firstLine="0" w:firstLineChars="0"/>
    </w:pPr>
  </w:style>
  <w:style w:type="paragraph" w:customStyle="1" w:styleId="189">
    <w:name w:val="标准文件_三级项2"/>
    <w:basedOn w:val="57"/>
    <w:autoRedefine/>
    <w:qFormat/>
    <w:uiPriority w:val="0"/>
    <w:pPr>
      <w:numPr>
        <w:ilvl w:val="0"/>
        <w:numId w:val="30"/>
      </w:numPr>
      <w:spacing w:line="300" w:lineRule="exact"/>
      <w:ind w:firstLineChars="0"/>
    </w:pPr>
    <w:rPr>
      <w:rFonts w:ascii="Times New Roman"/>
    </w:rPr>
  </w:style>
  <w:style w:type="paragraph" w:customStyle="1" w:styleId="190">
    <w:name w:val="标准文件_一级项2"/>
    <w:basedOn w:val="57"/>
    <w:autoRedefine/>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autoRedefine/>
    <w:qFormat/>
    <w:uiPriority w:val="0"/>
    <w:pPr>
      <w:ind w:firstLine="420"/>
    </w:pPr>
    <w:rPr>
      <w:rFonts w:ascii="黑体" w:eastAsia="黑体"/>
    </w:rPr>
  </w:style>
  <w:style w:type="character" w:customStyle="1" w:styleId="192">
    <w:name w:val="标准文件_来源"/>
    <w:basedOn w:val="29"/>
    <w:autoRedefine/>
    <w:qFormat/>
    <w:uiPriority w:val="1"/>
    <w:rPr>
      <w:rFonts w:eastAsia="宋体"/>
      <w:sz w:val="21"/>
    </w:rPr>
  </w:style>
  <w:style w:type="paragraph" w:customStyle="1" w:styleId="193">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autoRedefine/>
    <w:qFormat/>
    <w:uiPriority w:val="0"/>
    <w:pPr>
      <w:framePr w:w="3997" w:h="471" w:hRule="exact" w:hSpace="0" w:vSpace="181" w:wrap="around" w:vAnchor="page" w:hAnchor="page" w:x="1419" w:y="14097"/>
    </w:pPr>
  </w:style>
  <w:style w:type="paragraph" w:customStyle="1" w:styleId="195">
    <w:name w:val="其他实施日期"/>
    <w:basedOn w:val="155"/>
    <w:autoRedefine/>
    <w:qFormat/>
    <w:uiPriority w:val="0"/>
    <w:pPr>
      <w:framePr w:w="3997" w:h="471" w:hRule="exact" w:vSpace="181" w:wrap="around" w:vAnchor="page" w:hAnchor="page" w:x="7089" w:y="14097"/>
    </w:pPr>
  </w:style>
  <w:style w:type="paragraph" w:customStyle="1" w:styleId="196">
    <w:name w:val="标准文件_文件编号"/>
    <w:basedOn w:val="57"/>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autoRedefine/>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autoRedefine/>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autoRedefine/>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autoRedefine/>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autoRedefine/>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autoRedefine/>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autoRedefine/>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autoRedefine/>
    <w:qFormat/>
    <w:uiPriority w:val="0"/>
    <w:pPr>
      <w:ind w:left="811" w:firstLine="0" w:firstLineChars="0"/>
    </w:pPr>
    <w:rPr>
      <w:sz w:val="18"/>
    </w:rPr>
  </w:style>
  <w:style w:type="paragraph" w:customStyle="1" w:styleId="207">
    <w:name w:val="标准文件_注X后"/>
    <w:basedOn w:val="57"/>
    <w:autoRedefine/>
    <w:qFormat/>
    <w:uiPriority w:val="0"/>
    <w:pPr>
      <w:ind w:left="811" w:firstLine="0" w:firstLineChars="0"/>
    </w:pPr>
    <w:rPr>
      <w:sz w:val="18"/>
    </w:rPr>
  </w:style>
  <w:style w:type="paragraph" w:customStyle="1" w:styleId="208">
    <w:name w:val="标准文件_示例后"/>
    <w:basedOn w:val="57"/>
    <w:autoRedefine/>
    <w:qFormat/>
    <w:uiPriority w:val="0"/>
    <w:pPr>
      <w:ind w:left="964" w:firstLine="0" w:firstLineChars="0"/>
    </w:pPr>
    <w:rPr>
      <w:sz w:val="18"/>
    </w:rPr>
  </w:style>
  <w:style w:type="paragraph" w:customStyle="1" w:styleId="209">
    <w:name w:val="标准文件_示例X后"/>
    <w:basedOn w:val="57"/>
    <w:link w:val="210"/>
    <w:autoRedefine/>
    <w:qFormat/>
    <w:uiPriority w:val="0"/>
    <w:pPr>
      <w:ind w:left="1049" w:firstLine="0" w:firstLineChars="0"/>
    </w:pPr>
    <w:rPr>
      <w:sz w:val="18"/>
    </w:rPr>
  </w:style>
  <w:style w:type="character" w:customStyle="1" w:styleId="210">
    <w:name w:val="标准文件_示例X后 字符"/>
    <w:basedOn w:val="185"/>
    <w:link w:val="209"/>
    <w:autoRedefine/>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autoRedefine/>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autoRedefine/>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autoRedefine/>
    <w:qFormat/>
    <w:uiPriority w:val="0"/>
    <w:pPr>
      <w:spacing w:before="0" w:beforeLines="0" w:after="0" w:afterLines="0" w:line="276" w:lineRule="auto"/>
    </w:pPr>
    <w:rPr>
      <w:rFonts w:ascii="宋体" w:eastAsia="宋体"/>
    </w:rPr>
  </w:style>
  <w:style w:type="paragraph" w:customStyle="1" w:styleId="219">
    <w:name w:val="标准文件_引言三级无标题"/>
    <w:basedOn w:val="203"/>
    <w:autoRedefine/>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autoRedefine/>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autoRedefine/>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autoRedefine/>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autoRedefine/>
    <w:qFormat/>
    <w:uiPriority w:val="0"/>
  </w:style>
  <w:style w:type="paragraph" w:customStyle="1" w:styleId="225">
    <w:name w:val="标准文件_术语条二"/>
    <w:basedOn w:val="166"/>
    <w:next w:val="57"/>
    <w:autoRedefine/>
    <w:qFormat/>
    <w:uiPriority w:val="0"/>
  </w:style>
  <w:style w:type="paragraph" w:customStyle="1" w:styleId="226">
    <w:name w:val="标准文件_术语条三"/>
    <w:basedOn w:val="165"/>
    <w:next w:val="57"/>
    <w:autoRedefine/>
    <w:qFormat/>
    <w:uiPriority w:val="0"/>
  </w:style>
  <w:style w:type="paragraph" w:customStyle="1" w:styleId="227">
    <w:name w:val="标准文件_术语条四"/>
    <w:basedOn w:val="168"/>
    <w:next w:val="57"/>
    <w:autoRedefine/>
    <w:qFormat/>
    <w:uiPriority w:val="0"/>
  </w:style>
  <w:style w:type="paragraph" w:customStyle="1" w:styleId="228">
    <w:name w:val="标准文件_术语条五"/>
    <w:basedOn w:val="164"/>
    <w:next w:val="57"/>
    <w:qFormat/>
    <w:uiPriority w:val="0"/>
  </w:style>
  <w:style w:type="paragraph" w:customStyle="1" w:styleId="229">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autoRedefine/>
    <w:qFormat/>
    <w:uiPriority w:val="0"/>
    <w:rPr>
      <w:rFonts w:ascii="黑体" w:eastAsia="黑体"/>
      <w:spacing w:val="85"/>
      <w:w w:val="100"/>
      <w:position w:val="3"/>
      <w:sz w:val="28"/>
      <w:szCs w:val="28"/>
    </w:rPr>
  </w:style>
  <w:style w:type="paragraph" w:customStyle="1" w:styleId="231">
    <w:name w:val="段"/>
    <w:autoRedefine/>
    <w:qFormat/>
    <w:uiPriority w:val="0"/>
    <w:pPr>
      <w:tabs>
        <w:tab w:val="center" w:pos="4201"/>
        <w:tab w:val="right" w:leader="dot" w:pos="9298"/>
      </w:tabs>
      <w:autoSpaceDE w:val="0"/>
      <w:autoSpaceDN w:val="0"/>
      <w:jc w:val="center"/>
    </w:pPr>
    <w:rPr>
      <w:rFonts w:ascii="宋体" w:hAnsi="Times New Roman" w:eastAsia="宋体" w:cs="Times New Roman"/>
      <w:sz w:val="21"/>
      <w:lang w:val="en-US" w:eastAsia="zh-CN" w:bidi="ar-SA"/>
    </w:rPr>
  </w:style>
  <w:style w:type="paragraph" w:customStyle="1" w:styleId="232">
    <w:name w:val="目次、标准名称标题"/>
    <w:basedOn w:val="1"/>
    <w:next w:val="1"/>
    <w:qFormat/>
    <w:uiPriority w:val="0"/>
    <w:pPr>
      <w:keepNext/>
      <w:pageBreakBefore/>
      <w:widowControl/>
      <w:shd w:val="clear" w:color="FFFFFF" w:fill="FFFFFF"/>
      <w:spacing w:before="640" w:after="560" w:line="460" w:lineRule="exact"/>
      <w:jc w:val="center"/>
      <w:outlineLvl w:val="0"/>
    </w:pPr>
    <w:rPr>
      <w:rFonts w:ascii="黑体" w:hAnsi="Times New Roman" w:eastAsia="黑体"/>
      <w:kern w:val="0"/>
      <w:sz w:val="32"/>
      <w:szCs w:val="20"/>
    </w:rPr>
  </w:style>
  <w:style w:type="paragraph" w:customStyle="1" w:styleId="233">
    <w:name w:val="终结线"/>
    <w:basedOn w:val="1"/>
    <w:qFormat/>
    <w:uiPriority w:val="0"/>
    <w:pPr>
      <w:framePr w:hSpace="181" w:vSpace="181" w:wrap="around" w:vAnchor="text" w:hAnchor="margin" w:xAlign="center" w:y="285"/>
    </w:pPr>
    <w:rPr>
      <w:rFonts w:ascii="Times New Roman" w:hAnsi="Times New Roman"/>
    </w:rPr>
  </w:style>
  <w:style w:type="paragraph" w:customStyle="1" w:styleId="23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tiff"/><Relationship Id="rId17" Type="http://schemas.openxmlformats.org/officeDocument/2006/relationships/theme" Target="theme/theme1.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915C92-6B81-40E3-AF91-E9D57E8F3B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11</Pages>
  <Words>3636</Words>
  <Characters>4156</Characters>
  <Lines>37</Lines>
  <Paragraphs>10</Paragraphs>
  <TotalTime>0</TotalTime>
  <ScaleCrop>false</ScaleCrop>
  <LinksUpToDate>false</LinksUpToDate>
  <CharactersWithSpaces>4294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2024-05-16T06:00:00Z</dcterms:created>
  <dc:creator>123</dc:creator>
  <dc:description>&lt;config cover="true" show_menu="true" version="1.0.0" doctype="SDKXY"&gt;_x000d_
&lt;/config&gt;</dc:description>
  <cp:lastModifiedBy>Administrator</cp:lastModifiedBy>
  <cp:lastPrinted>2020-08-30T10:00:00Z</cp:lastPrinted>
  <dcterms:modified xsi:type="dcterms:W3CDTF">2024-11-08T02:30:24Z</dcterms:modified>
  <dc:title>地方标准</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2052-12.1.0.18608</vt:lpwstr>
  </property>
  <property fmtid="{D5CDD505-2E9C-101B-9397-08002B2CF9AE}" pid="16" name="ICV">
    <vt:lpwstr>9BC9331E15B74D6E8D426C24D0EC73D4_13</vt:lpwstr>
  </property>
</Properties>
</file>