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0D7F1">
      <w:pPr>
        <w:jc w:val="center"/>
        <w:rPr>
          <w:rFonts w:eastAsia="黑体"/>
          <w:sz w:val="52"/>
          <w:szCs w:val="52"/>
        </w:rPr>
      </w:pPr>
    </w:p>
    <w:p w14:paraId="338EB821">
      <w:pPr>
        <w:jc w:val="center"/>
        <w:rPr>
          <w:rFonts w:eastAsia="黑体"/>
          <w:sz w:val="52"/>
          <w:szCs w:val="52"/>
        </w:rPr>
      </w:pPr>
    </w:p>
    <w:p w14:paraId="56D326ED">
      <w:pPr>
        <w:jc w:val="center"/>
        <w:rPr>
          <w:rFonts w:eastAsia="黑体"/>
          <w:sz w:val="52"/>
          <w:szCs w:val="52"/>
        </w:rPr>
      </w:pPr>
    </w:p>
    <w:p w14:paraId="38668C06">
      <w:pPr>
        <w:jc w:val="center"/>
        <w:rPr>
          <w:rFonts w:eastAsia="黑体"/>
          <w:sz w:val="52"/>
          <w:szCs w:val="52"/>
        </w:rPr>
      </w:pPr>
    </w:p>
    <w:p w14:paraId="7FAC79D5">
      <w:pPr>
        <w:jc w:val="center"/>
        <w:rPr>
          <w:rFonts w:eastAsia="黑体"/>
          <w:sz w:val="52"/>
          <w:szCs w:val="52"/>
        </w:rPr>
      </w:pPr>
    </w:p>
    <w:p w14:paraId="57902D01">
      <w:pPr>
        <w:jc w:val="center"/>
        <w:rPr>
          <w:rFonts w:eastAsia="黑体"/>
          <w:sz w:val="44"/>
          <w:szCs w:val="52"/>
        </w:rPr>
      </w:pPr>
      <w:r>
        <w:rPr>
          <w:rFonts w:hint="eastAsia" w:eastAsia="黑体"/>
          <w:sz w:val="44"/>
          <w:szCs w:val="52"/>
        </w:rPr>
        <w:t>再生水利用配置计量管理规范</w:t>
      </w:r>
    </w:p>
    <w:p w14:paraId="32213E02">
      <w:pPr>
        <w:jc w:val="center"/>
        <w:rPr>
          <w:rFonts w:eastAsia="黑体"/>
          <w:sz w:val="48"/>
          <w:szCs w:val="32"/>
        </w:rPr>
      </w:pPr>
    </w:p>
    <w:p w14:paraId="66C2219E">
      <w:pPr>
        <w:jc w:val="center"/>
        <w:rPr>
          <w:rFonts w:eastAsia="黑体"/>
          <w:sz w:val="48"/>
          <w:szCs w:val="32"/>
        </w:rPr>
      </w:pPr>
      <w:r>
        <w:rPr>
          <w:rFonts w:hint="eastAsia" w:eastAsia="黑体"/>
          <w:sz w:val="48"/>
          <w:szCs w:val="32"/>
        </w:rPr>
        <w:t>（</w:t>
      </w:r>
      <w:r>
        <w:rPr>
          <w:rFonts w:hint="eastAsia" w:eastAsia="黑体"/>
          <w:sz w:val="48"/>
          <w:szCs w:val="32"/>
          <w:lang w:val="en-US" w:eastAsia="zh-CN"/>
        </w:rPr>
        <w:t>报批</w:t>
      </w:r>
      <w:r>
        <w:rPr>
          <w:rFonts w:hint="eastAsia" w:eastAsia="黑体"/>
          <w:sz w:val="48"/>
          <w:szCs w:val="32"/>
        </w:rPr>
        <w:t>稿）</w:t>
      </w:r>
    </w:p>
    <w:p w14:paraId="199BC5CE">
      <w:pPr>
        <w:jc w:val="center"/>
        <w:rPr>
          <w:rFonts w:eastAsia="黑体"/>
          <w:sz w:val="32"/>
          <w:szCs w:val="32"/>
        </w:rPr>
      </w:pPr>
    </w:p>
    <w:p w14:paraId="6169E94D">
      <w:pPr>
        <w:jc w:val="center"/>
        <w:rPr>
          <w:rFonts w:eastAsia="黑体"/>
          <w:sz w:val="32"/>
          <w:szCs w:val="32"/>
        </w:rPr>
      </w:pPr>
    </w:p>
    <w:p w14:paraId="3CACBD37">
      <w:pPr>
        <w:jc w:val="center"/>
        <w:rPr>
          <w:rFonts w:eastAsia="黑体"/>
          <w:sz w:val="32"/>
          <w:szCs w:val="32"/>
        </w:rPr>
      </w:pPr>
      <w:r>
        <w:rPr>
          <w:rFonts w:eastAsia="黑体"/>
          <w:sz w:val="48"/>
          <w:szCs w:val="48"/>
        </w:rPr>
        <w:t>编 制 说 明</w:t>
      </w:r>
    </w:p>
    <w:p w14:paraId="5BBFFB3A">
      <w:pPr>
        <w:jc w:val="center"/>
        <w:rPr>
          <w:rFonts w:eastAsia="黑体"/>
          <w:sz w:val="32"/>
          <w:szCs w:val="32"/>
        </w:rPr>
      </w:pPr>
    </w:p>
    <w:p w14:paraId="01EA28DF">
      <w:pPr>
        <w:jc w:val="center"/>
        <w:rPr>
          <w:rFonts w:eastAsia="黑体"/>
          <w:sz w:val="32"/>
          <w:szCs w:val="32"/>
        </w:rPr>
      </w:pPr>
    </w:p>
    <w:p w14:paraId="389B602C">
      <w:pPr>
        <w:jc w:val="center"/>
        <w:rPr>
          <w:rFonts w:eastAsia="黑体"/>
          <w:sz w:val="32"/>
          <w:szCs w:val="32"/>
        </w:rPr>
      </w:pPr>
    </w:p>
    <w:p w14:paraId="31972BE8">
      <w:pPr>
        <w:rPr>
          <w:rFonts w:eastAsia="黑体"/>
          <w:sz w:val="32"/>
          <w:szCs w:val="32"/>
        </w:rPr>
      </w:pPr>
    </w:p>
    <w:p w14:paraId="50617281">
      <w:pPr>
        <w:jc w:val="center"/>
        <w:rPr>
          <w:rFonts w:eastAsia="黑体"/>
          <w:sz w:val="32"/>
          <w:szCs w:val="32"/>
        </w:rPr>
      </w:pPr>
    </w:p>
    <w:p w14:paraId="336A5544">
      <w:pPr>
        <w:jc w:val="center"/>
        <w:rPr>
          <w:rFonts w:eastAsia="黑体"/>
          <w:sz w:val="32"/>
          <w:szCs w:val="32"/>
        </w:rPr>
      </w:pPr>
    </w:p>
    <w:p w14:paraId="62E1082D">
      <w:pPr>
        <w:spacing w:line="360" w:lineRule="auto"/>
        <w:jc w:val="center"/>
        <w:rPr>
          <w:rFonts w:eastAsia="黑体"/>
          <w:bCs/>
          <w:sz w:val="30"/>
          <w:szCs w:val="30"/>
        </w:rPr>
      </w:pPr>
      <w:r>
        <w:rPr>
          <w:rFonts w:eastAsia="黑体"/>
          <w:sz w:val="30"/>
          <w:szCs w:val="30"/>
        </w:rPr>
        <w:t>《</w:t>
      </w:r>
      <w:r>
        <w:rPr>
          <w:rFonts w:hint="eastAsia" w:eastAsia="黑体"/>
          <w:sz w:val="30"/>
          <w:szCs w:val="30"/>
          <w:lang w:eastAsia="zh-CN"/>
        </w:rPr>
        <w:t>再生水利用配置计量管理规范</w:t>
      </w:r>
      <w:r>
        <w:rPr>
          <w:rFonts w:eastAsia="黑体"/>
          <w:sz w:val="30"/>
          <w:szCs w:val="30"/>
        </w:rPr>
        <w:t>》编制组</w:t>
      </w:r>
    </w:p>
    <w:p w14:paraId="6224DC07">
      <w:pPr>
        <w:spacing w:line="360" w:lineRule="auto"/>
        <w:jc w:val="center"/>
        <w:rPr>
          <w:rFonts w:eastAsia="黑体"/>
          <w:sz w:val="30"/>
          <w:szCs w:val="30"/>
        </w:rPr>
      </w:pPr>
      <w:r>
        <w:rPr>
          <w:rFonts w:eastAsia="黑体"/>
          <w:sz w:val="30"/>
          <w:szCs w:val="30"/>
        </w:rPr>
        <w:t>二〇二</w:t>
      </w:r>
      <w:r>
        <w:rPr>
          <w:rFonts w:hint="eastAsia" w:eastAsia="黑体"/>
          <w:sz w:val="30"/>
          <w:szCs w:val="30"/>
          <w:lang w:eastAsia="zh-CN"/>
        </w:rPr>
        <w:t>四</w:t>
      </w:r>
      <w:r>
        <w:rPr>
          <w:rFonts w:eastAsia="黑体"/>
          <w:sz w:val="30"/>
          <w:szCs w:val="30"/>
        </w:rPr>
        <w:t>年</w:t>
      </w:r>
      <w:r>
        <w:rPr>
          <w:rFonts w:hint="eastAsia" w:eastAsia="黑体"/>
          <w:sz w:val="30"/>
          <w:szCs w:val="30"/>
          <w:lang w:eastAsia="zh-CN"/>
        </w:rPr>
        <w:t>五</w:t>
      </w:r>
      <w:r>
        <w:rPr>
          <w:rFonts w:eastAsia="黑体"/>
          <w:sz w:val="30"/>
          <w:szCs w:val="30"/>
        </w:rPr>
        <w:t>月</w:t>
      </w:r>
    </w:p>
    <w:p w14:paraId="20CEC7D8">
      <w:pPr>
        <w:jc w:val="center"/>
        <w:rPr>
          <w:rFonts w:eastAsia="黑体"/>
          <w:sz w:val="32"/>
          <w:szCs w:val="32"/>
        </w:rPr>
      </w:pPr>
    </w:p>
    <w:p w14:paraId="4B6B14F7">
      <w:pPr>
        <w:rPr>
          <w:rFonts w:eastAsia="宋体"/>
          <w:b w:val="0"/>
          <w:i w:val="0"/>
          <w:sz w:val="28"/>
        </w:rPr>
      </w:pPr>
      <w:r>
        <w:rPr>
          <w:rFonts w:eastAsia="宋体"/>
          <w:b w:val="0"/>
          <w:i w:val="0"/>
          <w:sz w:val="28"/>
        </w:rPr>
        <w:br w:type="page"/>
      </w:r>
    </w:p>
    <w:p w14:paraId="2FBB4F2F">
      <w:pPr>
        <w:pStyle w:val="14"/>
        <w:jc w:val="center"/>
        <w:rPr>
          <w:rFonts w:ascii="黑体" w:hAnsi="黑体" w:eastAsia="黑体"/>
          <w:b/>
          <w:color w:val="auto"/>
        </w:rPr>
      </w:pPr>
      <w:r>
        <w:rPr>
          <w:rFonts w:ascii="黑体" w:hAnsi="黑体" w:eastAsia="黑体"/>
          <w:b/>
          <w:color w:val="auto"/>
          <w:lang w:val="zh-CN"/>
        </w:rPr>
        <w:t>目</w:t>
      </w:r>
      <w:r>
        <w:rPr>
          <w:rFonts w:hint="eastAsia" w:ascii="黑体" w:hAnsi="黑体" w:eastAsia="黑体"/>
          <w:b/>
          <w:color w:val="auto"/>
          <w:lang w:val="zh-CN"/>
        </w:rPr>
        <w:t xml:space="preserve">    </w:t>
      </w:r>
      <w:r>
        <w:rPr>
          <w:rFonts w:ascii="黑体" w:hAnsi="黑体" w:eastAsia="黑体"/>
          <w:b/>
          <w:color w:val="auto"/>
          <w:lang w:val="zh-CN"/>
        </w:rPr>
        <w:t>录</w:t>
      </w:r>
    </w:p>
    <w:p w14:paraId="64652332">
      <w:pPr>
        <w:pStyle w:val="7"/>
        <w:tabs>
          <w:tab w:val="right" w:leader="dot" w:pos="8306"/>
        </w:tabs>
        <w:rPr>
          <w:sz w:val="30"/>
          <w:szCs w:val="30"/>
        </w:rPr>
      </w:pPr>
      <w:r>
        <w:rPr>
          <w:rFonts w:ascii="Times New Roman" w:eastAsia="黑体"/>
          <w:b w:val="0"/>
          <w:bCs w:val="0"/>
          <w:caps w:val="0"/>
          <w:sz w:val="21"/>
          <w:szCs w:val="21"/>
        </w:rPr>
        <w:fldChar w:fldCharType="begin"/>
      </w:r>
      <w:r>
        <w:rPr>
          <w:rFonts w:ascii="Times New Roman" w:eastAsia="黑体"/>
          <w:b w:val="0"/>
          <w:bCs w:val="0"/>
          <w:caps w:val="0"/>
          <w:sz w:val="21"/>
          <w:szCs w:val="21"/>
        </w:rPr>
        <w:instrText xml:space="preserve"> TOC \o "1-2" \h \z \u </w:instrText>
      </w:r>
      <w:r>
        <w:rPr>
          <w:rFonts w:ascii="Times New Roman" w:eastAsia="黑体"/>
          <w:b w:val="0"/>
          <w:bCs w:val="0"/>
          <w:caps w:val="0"/>
          <w:sz w:val="21"/>
          <w:szCs w:val="21"/>
        </w:rPr>
        <w:fldChar w:fldCharType="separate"/>
      </w:r>
      <w:r>
        <w:rPr>
          <w:rFonts w:ascii="Times New Roman" w:eastAsia="黑体"/>
          <w:bCs w:val="0"/>
          <w:caps w:val="0"/>
          <w:sz w:val="30"/>
          <w:szCs w:val="30"/>
        </w:rPr>
        <w:fldChar w:fldCharType="begin"/>
      </w:r>
      <w:r>
        <w:rPr>
          <w:rFonts w:ascii="Times New Roman" w:eastAsia="黑体"/>
          <w:bCs w:val="0"/>
          <w:caps w:val="0"/>
          <w:sz w:val="30"/>
          <w:szCs w:val="30"/>
        </w:rPr>
        <w:instrText xml:space="preserve"> HYPERLINK \l _Toc32085 </w:instrText>
      </w:r>
      <w:r>
        <w:rPr>
          <w:rFonts w:ascii="Times New Roman" w:eastAsia="黑体"/>
          <w:bCs w:val="0"/>
          <w:caps w:val="0"/>
          <w:sz w:val="30"/>
          <w:szCs w:val="30"/>
        </w:rPr>
        <w:fldChar w:fldCharType="separate"/>
      </w:r>
      <w:r>
        <w:rPr>
          <w:rFonts w:hint="eastAsia"/>
          <w:sz w:val="30"/>
          <w:szCs w:val="30"/>
        </w:rPr>
        <w:t xml:space="preserve">一、 </w:t>
      </w:r>
      <w:r>
        <w:rPr>
          <w:sz w:val="30"/>
          <w:szCs w:val="30"/>
        </w:rPr>
        <w:t>工作简况</w:t>
      </w:r>
      <w:r>
        <w:rPr>
          <w:sz w:val="30"/>
          <w:szCs w:val="30"/>
        </w:rPr>
        <w:tab/>
      </w:r>
      <w:r>
        <w:rPr>
          <w:sz w:val="30"/>
          <w:szCs w:val="30"/>
        </w:rPr>
        <w:fldChar w:fldCharType="begin"/>
      </w:r>
      <w:r>
        <w:rPr>
          <w:sz w:val="30"/>
          <w:szCs w:val="30"/>
        </w:rPr>
        <w:instrText xml:space="preserve"> PAGEREF _Toc32085 \h </w:instrText>
      </w:r>
      <w:r>
        <w:rPr>
          <w:sz w:val="30"/>
          <w:szCs w:val="30"/>
        </w:rPr>
        <w:fldChar w:fldCharType="separate"/>
      </w:r>
      <w:r>
        <w:rPr>
          <w:sz w:val="30"/>
          <w:szCs w:val="30"/>
        </w:rPr>
        <w:t>1</w:t>
      </w:r>
      <w:r>
        <w:rPr>
          <w:sz w:val="30"/>
          <w:szCs w:val="30"/>
        </w:rPr>
        <w:fldChar w:fldCharType="end"/>
      </w:r>
      <w:r>
        <w:rPr>
          <w:rFonts w:ascii="Times New Roman" w:eastAsia="黑体"/>
          <w:bCs w:val="0"/>
          <w:caps w:val="0"/>
          <w:sz w:val="30"/>
          <w:szCs w:val="30"/>
        </w:rPr>
        <w:fldChar w:fldCharType="end"/>
      </w:r>
    </w:p>
    <w:p w14:paraId="1ADA1E50">
      <w:pPr>
        <w:pStyle w:val="8"/>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_Toc13341 </w:instrText>
      </w:r>
      <w:r>
        <w:rPr>
          <w:rFonts w:eastAsia="黑体"/>
          <w:caps/>
          <w:sz w:val="30"/>
          <w:szCs w:val="30"/>
        </w:rPr>
        <w:fldChar w:fldCharType="separate"/>
      </w:r>
      <w:r>
        <w:rPr>
          <w:rFonts w:hint="default" w:ascii="宋体" w:hAnsi="宋体" w:eastAsia="宋体" w:cs="宋体"/>
          <w:sz w:val="30"/>
          <w:szCs w:val="30"/>
        </w:rPr>
        <w:t xml:space="preserve">1.1 </w:t>
      </w:r>
      <w:r>
        <w:rPr>
          <w:rFonts w:hint="eastAsia" w:ascii="宋体" w:hAnsi="宋体" w:eastAsia="宋体" w:cs="宋体"/>
          <w:sz w:val="30"/>
          <w:szCs w:val="30"/>
        </w:rPr>
        <w:t>任务来源</w:t>
      </w:r>
      <w:r>
        <w:rPr>
          <w:sz w:val="30"/>
          <w:szCs w:val="30"/>
        </w:rPr>
        <w:tab/>
      </w:r>
      <w:r>
        <w:rPr>
          <w:sz w:val="30"/>
          <w:szCs w:val="30"/>
        </w:rPr>
        <w:fldChar w:fldCharType="begin"/>
      </w:r>
      <w:r>
        <w:rPr>
          <w:sz w:val="30"/>
          <w:szCs w:val="30"/>
        </w:rPr>
        <w:instrText xml:space="preserve"> PAGEREF _Toc13341 \h </w:instrText>
      </w:r>
      <w:r>
        <w:rPr>
          <w:sz w:val="30"/>
          <w:szCs w:val="30"/>
        </w:rPr>
        <w:fldChar w:fldCharType="separate"/>
      </w:r>
      <w:r>
        <w:rPr>
          <w:sz w:val="30"/>
          <w:szCs w:val="30"/>
        </w:rPr>
        <w:t>1</w:t>
      </w:r>
      <w:r>
        <w:rPr>
          <w:sz w:val="30"/>
          <w:szCs w:val="30"/>
        </w:rPr>
        <w:fldChar w:fldCharType="end"/>
      </w:r>
      <w:r>
        <w:rPr>
          <w:rFonts w:eastAsia="黑体"/>
          <w:caps/>
          <w:sz w:val="30"/>
          <w:szCs w:val="30"/>
        </w:rPr>
        <w:fldChar w:fldCharType="end"/>
      </w:r>
    </w:p>
    <w:p w14:paraId="620927AF">
      <w:pPr>
        <w:pStyle w:val="8"/>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_Toc10109 </w:instrText>
      </w:r>
      <w:r>
        <w:rPr>
          <w:rFonts w:eastAsia="黑体"/>
          <w:caps/>
          <w:sz w:val="30"/>
          <w:szCs w:val="30"/>
        </w:rPr>
        <w:fldChar w:fldCharType="separate"/>
      </w:r>
      <w:r>
        <w:rPr>
          <w:rFonts w:hint="default" w:ascii="宋体" w:hAnsi="宋体" w:eastAsia="宋体" w:cs="宋体"/>
          <w:sz w:val="30"/>
          <w:szCs w:val="30"/>
        </w:rPr>
        <w:t xml:space="preserve">1.2 </w:t>
      </w:r>
      <w:r>
        <w:rPr>
          <w:rFonts w:hint="eastAsia" w:ascii="宋体" w:hAnsi="宋体" w:eastAsia="宋体" w:cs="宋体"/>
          <w:sz w:val="30"/>
          <w:szCs w:val="30"/>
        </w:rPr>
        <w:t>编制背景</w:t>
      </w:r>
      <w:r>
        <w:rPr>
          <w:sz w:val="30"/>
          <w:szCs w:val="30"/>
        </w:rPr>
        <w:tab/>
      </w:r>
      <w:r>
        <w:rPr>
          <w:sz w:val="30"/>
          <w:szCs w:val="30"/>
        </w:rPr>
        <w:fldChar w:fldCharType="begin"/>
      </w:r>
      <w:r>
        <w:rPr>
          <w:sz w:val="30"/>
          <w:szCs w:val="30"/>
        </w:rPr>
        <w:instrText xml:space="preserve"> PAGEREF _Toc10109 \h </w:instrText>
      </w:r>
      <w:r>
        <w:rPr>
          <w:sz w:val="30"/>
          <w:szCs w:val="30"/>
        </w:rPr>
        <w:fldChar w:fldCharType="separate"/>
      </w:r>
      <w:r>
        <w:rPr>
          <w:sz w:val="30"/>
          <w:szCs w:val="30"/>
        </w:rPr>
        <w:t>1</w:t>
      </w:r>
      <w:r>
        <w:rPr>
          <w:sz w:val="30"/>
          <w:szCs w:val="30"/>
        </w:rPr>
        <w:fldChar w:fldCharType="end"/>
      </w:r>
      <w:r>
        <w:rPr>
          <w:rFonts w:eastAsia="黑体"/>
          <w:caps/>
          <w:sz w:val="30"/>
          <w:szCs w:val="30"/>
        </w:rPr>
        <w:fldChar w:fldCharType="end"/>
      </w:r>
    </w:p>
    <w:p w14:paraId="463F7EC0">
      <w:pPr>
        <w:pStyle w:val="8"/>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_Toc19436 </w:instrText>
      </w:r>
      <w:r>
        <w:rPr>
          <w:rFonts w:eastAsia="黑体"/>
          <w:caps/>
          <w:sz w:val="30"/>
          <w:szCs w:val="30"/>
        </w:rPr>
        <w:fldChar w:fldCharType="separate"/>
      </w:r>
      <w:r>
        <w:rPr>
          <w:rFonts w:hint="default" w:ascii="宋体" w:hAnsi="宋体" w:eastAsia="宋体" w:cs="宋体"/>
          <w:sz w:val="30"/>
          <w:szCs w:val="30"/>
        </w:rPr>
        <w:t xml:space="preserve">1.3 </w:t>
      </w:r>
      <w:r>
        <w:rPr>
          <w:rFonts w:hint="eastAsia" w:ascii="宋体" w:hAnsi="宋体" w:eastAsia="宋体" w:cs="宋体"/>
          <w:sz w:val="30"/>
          <w:szCs w:val="30"/>
        </w:rPr>
        <w:t>国内外情况说明</w:t>
      </w:r>
      <w:r>
        <w:rPr>
          <w:sz w:val="30"/>
          <w:szCs w:val="30"/>
        </w:rPr>
        <w:tab/>
      </w:r>
      <w:r>
        <w:rPr>
          <w:sz w:val="30"/>
          <w:szCs w:val="30"/>
        </w:rPr>
        <w:fldChar w:fldCharType="begin"/>
      </w:r>
      <w:r>
        <w:rPr>
          <w:sz w:val="30"/>
          <w:szCs w:val="30"/>
        </w:rPr>
        <w:instrText xml:space="preserve"> PAGEREF _Toc19436 \h </w:instrText>
      </w:r>
      <w:r>
        <w:rPr>
          <w:sz w:val="30"/>
          <w:szCs w:val="30"/>
        </w:rPr>
        <w:fldChar w:fldCharType="separate"/>
      </w:r>
      <w:r>
        <w:rPr>
          <w:sz w:val="30"/>
          <w:szCs w:val="30"/>
        </w:rPr>
        <w:t>4</w:t>
      </w:r>
      <w:r>
        <w:rPr>
          <w:sz w:val="30"/>
          <w:szCs w:val="30"/>
        </w:rPr>
        <w:fldChar w:fldCharType="end"/>
      </w:r>
      <w:r>
        <w:rPr>
          <w:rFonts w:eastAsia="黑体"/>
          <w:caps/>
          <w:sz w:val="30"/>
          <w:szCs w:val="30"/>
        </w:rPr>
        <w:fldChar w:fldCharType="end"/>
      </w:r>
    </w:p>
    <w:p w14:paraId="0C5C904C">
      <w:pPr>
        <w:pStyle w:val="8"/>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_Toc20962 </w:instrText>
      </w:r>
      <w:r>
        <w:rPr>
          <w:rFonts w:eastAsia="黑体"/>
          <w:caps/>
          <w:sz w:val="30"/>
          <w:szCs w:val="30"/>
        </w:rPr>
        <w:fldChar w:fldCharType="separate"/>
      </w:r>
      <w:r>
        <w:rPr>
          <w:rFonts w:hint="default" w:ascii="宋体" w:hAnsi="宋体" w:eastAsia="宋体" w:cs="宋体"/>
          <w:sz w:val="30"/>
          <w:szCs w:val="30"/>
        </w:rPr>
        <w:t xml:space="preserve">1.4 </w:t>
      </w:r>
      <w:r>
        <w:rPr>
          <w:rFonts w:hint="eastAsia" w:ascii="宋体" w:hAnsi="宋体" w:eastAsia="宋体" w:cs="宋体"/>
          <w:sz w:val="30"/>
          <w:szCs w:val="30"/>
        </w:rPr>
        <w:t>编制原则和依据</w:t>
      </w:r>
      <w:r>
        <w:rPr>
          <w:sz w:val="30"/>
          <w:szCs w:val="30"/>
        </w:rPr>
        <w:tab/>
      </w:r>
      <w:r>
        <w:rPr>
          <w:sz w:val="30"/>
          <w:szCs w:val="30"/>
        </w:rPr>
        <w:fldChar w:fldCharType="begin"/>
      </w:r>
      <w:r>
        <w:rPr>
          <w:sz w:val="30"/>
          <w:szCs w:val="30"/>
        </w:rPr>
        <w:instrText xml:space="preserve"> PAGEREF _Toc20962 \h </w:instrText>
      </w:r>
      <w:r>
        <w:rPr>
          <w:sz w:val="30"/>
          <w:szCs w:val="30"/>
        </w:rPr>
        <w:fldChar w:fldCharType="separate"/>
      </w:r>
      <w:r>
        <w:rPr>
          <w:sz w:val="30"/>
          <w:szCs w:val="30"/>
        </w:rPr>
        <w:t>5</w:t>
      </w:r>
      <w:r>
        <w:rPr>
          <w:sz w:val="30"/>
          <w:szCs w:val="30"/>
        </w:rPr>
        <w:fldChar w:fldCharType="end"/>
      </w:r>
      <w:r>
        <w:rPr>
          <w:rFonts w:eastAsia="黑体"/>
          <w:caps/>
          <w:sz w:val="30"/>
          <w:szCs w:val="30"/>
        </w:rPr>
        <w:fldChar w:fldCharType="end"/>
      </w:r>
    </w:p>
    <w:p w14:paraId="4B2E3E1B">
      <w:pPr>
        <w:pStyle w:val="7"/>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_Toc23828 </w:instrText>
      </w:r>
      <w:r>
        <w:rPr>
          <w:rFonts w:eastAsia="黑体"/>
          <w:caps/>
          <w:sz w:val="30"/>
          <w:szCs w:val="30"/>
        </w:rPr>
        <w:fldChar w:fldCharType="separate"/>
      </w:r>
      <w:r>
        <w:rPr>
          <w:rFonts w:hint="eastAsia"/>
          <w:sz w:val="30"/>
          <w:szCs w:val="30"/>
        </w:rPr>
        <w:t xml:space="preserve">二、 </w:t>
      </w:r>
      <w:r>
        <w:rPr>
          <w:sz w:val="30"/>
          <w:szCs w:val="30"/>
        </w:rPr>
        <w:t>主要内容技术指标确立</w:t>
      </w:r>
      <w:r>
        <w:rPr>
          <w:sz w:val="30"/>
          <w:szCs w:val="30"/>
        </w:rPr>
        <w:tab/>
      </w:r>
      <w:r>
        <w:rPr>
          <w:sz w:val="30"/>
          <w:szCs w:val="30"/>
        </w:rPr>
        <w:fldChar w:fldCharType="begin"/>
      </w:r>
      <w:r>
        <w:rPr>
          <w:sz w:val="30"/>
          <w:szCs w:val="30"/>
        </w:rPr>
        <w:instrText xml:space="preserve"> PAGEREF _Toc23828 \h </w:instrText>
      </w:r>
      <w:r>
        <w:rPr>
          <w:sz w:val="30"/>
          <w:szCs w:val="30"/>
        </w:rPr>
        <w:fldChar w:fldCharType="separate"/>
      </w:r>
      <w:r>
        <w:rPr>
          <w:sz w:val="30"/>
          <w:szCs w:val="30"/>
        </w:rPr>
        <w:t>8</w:t>
      </w:r>
      <w:r>
        <w:rPr>
          <w:sz w:val="30"/>
          <w:szCs w:val="30"/>
        </w:rPr>
        <w:fldChar w:fldCharType="end"/>
      </w:r>
      <w:r>
        <w:rPr>
          <w:rFonts w:eastAsia="黑体"/>
          <w:caps/>
          <w:sz w:val="30"/>
          <w:szCs w:val="30"/>
        </w:rPr>
        <w:fldChar w:fldCharType="end"/>
      </w:r>
    </w:p>
    <w:p w14:paraId="0E4D5E1F">
      <w:pPr>
        <w:pStyle w:val="8"/>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_Toc4105 </w:instrText>
      </w:r>
      <w:r>
        <w:rPr>
          <w:rFonts w:eastAsia="黑体"/>
          <w:caps/>
          <w:sz w:val="30"/>
          <w:szCs w:val="30"/>
        </w:rPr>
        <w:fldChar w:fldCharType="separate"/>
      </w:r>
      <w:r>
        <w:rPr>
          <w:rFonts w:hint="default" w:ascii="宋体" w:hAnsi="宋体" w:eastAsia="宋体" w:cs="宋体"/>
          <w:sz w:val="30"/>
          <w:szCs w:val="30"/>
        </w:rPr>
        <w:t xml:space="preserve">2.1 </w:t>
      </w:r>
      <w:r>
        <w:rPr>
          <w:rFonts w:hint="eastAsia" w:ascii="宋体" w:hAnsi="宋体" w:eastAsia="宋体" w:cs="宋体"/>
          <w:sz w:val="30"/>
          <w:szCs w:val="30"/>
        </w:rPr>
        <w:t>“再生水”术语</w:t>
      </w:r>
      <w:r>
        <w:rPr>
          <w:rFonts w:hint="eastAsia" w:ascii="宋体" w:hAnsi="宋体" w:eastAsia="宋体" w:cs="宋体"/>
          <w:sz w:val="30"/>
          <w:szCs w:val="30"/>
          <w:lang w:eastAsia="zh-CN"/>
        </w:rPr>
        <w:t>的</w:t>
      </w:r>
      <w:r>
        <w:rPr>
          <w:rFonts w:hint="eastAsia" w:ascii="宋体" w:hAnsi="宋体" w:eastAsia="宋体" w:cs="宋体"/>
          <w:sz w:val="30"/>
          <w:szCs w:val="30"/>
        </w:rPr>
        <w:t>界定</w:t>
      </w:r>
      <w:r>
        <w:rPr>
          <w:sz w:val="30"/>
          <w:szCs w:val="30"/>
        </w:rPr>
        <w:tab/>
      </w:r>
      <w:r>
        <w:rPr>
          <w:sz w:val="30"/>
          <w:szCs w:val="30"/>
        </w:rPr>
        <w:fldChar w:fldCharType="begin"/>
      </w:r>
      <w:r>
        <w:rPr>
          <w:sz w:val="30"/>
          <w:szCs w:val="30"/>
        </w:rPr>
        <w:instrText xml:space="preserve"> PAGEREF _Toc4105 \h </w:instrText>
      </w:r>
      <w:r>
        <w:rPr>
          <w:sz w:val="30"/>
          <w:szCs w:val="30"/>
        </w:rPr>
        <w:fldChar w:fldCharType="separate"/>
      </w:r>
      <w:r>
        <w:rPr>
          <w:sz w:val="30"/>
          <w:szCs w:val="30"/>
        </w:rPr>
        <w:t>9</w:t>
      </w:r>
      <w:r>
        <w:rPr>
          <w:sz w:val="30"/>
          <w:szCs w:val="30"/>
        </w:rPr>
        <w:fldChar w:fldCharType="end"/>
      </w:r>
      <w:r>
        <w:rPr>
          <w:rFonts w:eastAsia="黑体"/>
          <w:caps/>
          <w:sz w:val="30"/>
          <w:szCs w:val="30"/>
        </w:rPr>
        <w:fldChar w:fldCharType="end"/>
      </w:r>
    </w:p>
    <w:p w14:paraId="7591023E">
      <w:pPr>
        <w:pStyle w:val="8"/>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_Toc22304 </w:instrText>
      </w:r>
      <w:r>
        <w:rPr>
          <w:rFonts w:eastAsia="黑体"/>
          <w:caps/>
          <w:sz w:val="30"/>
          <w:szCs w:val="30"/>
        </w:rPr>
        <w:fldChar w:fldCharType="separate"/>
      </w:r>
      <w:r>
        <w:rPr>
          <w:rFonts w:hint="default" w:ascii="宋体" w:hAnsi="宋体" w:eastAsia="宋体" w:cs="宋体"/>
          <w:sz w:val="30"/>
          <w:szCs w:val="30"/>
        </w:rPr>
        <w:t xml:space="preserve">2.2 </w:t>
      </w:r>
      <w:r>
        <w:rPr>
          <w:rFonts w:hint="eastAsia" w:ascii="宋体" w:hAnsi="宋体" w:eastAsia="宋体" w:cs="宋体"/>
          <w:sz w:val="30"/>
          <w:szCs w:val="30"/>
        </w:rPr>
        <w:t>计量设施</w:t>
      </w:r>
      <w:r>
        <w:rPr>
          <w:rFonts w:hint="eastAsia" w:ascii="宋体" w:hAnsi="宋体" w:eastAsia="宋体" w:cs="宋体"/>
          <w:sz w:val="30"/>
          <w:szCs w:val="30"/>
          <w:lang w:eastAsia="zh-CN"/>
        </w:rPr>
        <w:t>配备</w:t>
      </w:r>
      <w:r>
        <w:rPr>
          <w:rFonts w:hint="eastAsia" w:ascii="宋体" w:hAnsi="宋体" w:eastAsia="宋体" w:cs="宋体"/>
          <w:sz w:val="30"/>
          <w:szCs w:val="30"/>
        </w:rPr>
        <w:t>率</w:t>
      </w:r>
      <w:r>
        <w:rPr>
          <w:rFonts w:hint="eastAsia" w:ascii="宋体" w:hAnsi="宋体" w:eastAsia="宋体" w:cs="宋体"/>
          <w:sz w:val="30"/>
          <w:szCs w:val="30"/>
          <w:lang w:eastAsia="zh-CN"/>
        </w:rPr>
        <w:t>的</w:t>
      </w:r>
      <w:r>
        <w:rPr>
          <w:rFonts w:hint="eastAsia" w:ascii="宋体" w:hAnsi="宋体" w:eastAsia="宋体" w:cs="宋体"/>
          <w:sz w:val="30"/>
          <w:szCs w:val="30"/>
        </w:rPr>
        <w:t>确定</w:t>
      </w:r>
      <w:r>
        <w:rPr>
          <w:sz w:val="30"/>
          <w:szCs w:val="30"/>
        </w:rPr>
        <w:tab/>
      </w:r>
      <w:r>
        <w:rPr>
          <w:sz w:val="30"/>
          <w:szCs w:val="30"/>
        </w:rPr>
        <w:fldChar w:fldCharType="begin"/>
      </w:r>
      <w:r>
        <w:rPr>
          <w:sz w:val="30"/>
          <w:szCs w:val="30"/>
        </w:rPr>
        <w:instrText xml:space="preserve"> PAGEREF _Toc22304 \h </w:instrText>
      </w:r>
      <w:r>
        <w:rPr>
          <w:sz w:val="30"/>
          <w:szCs w:val="30"/>
        </w:rPr>
        <w:fldChar w:fldCharType="separate"/>
      </w:r>
      <w:r>
        <w:rPr>
          <w:sz w:val="30"/>
          <w:szCs w:val="30"/>
        </w:rPr>
        <w:t>9</w:t>
      </w:r>
      <w:r>
        <w:rPr>
          <w:sz w:val="30"/>
          <w:szCs w:val="30"/>
        </w:rPr>
        <w:fldChar w:fldCharType="end"/>
      </w:r>
      <w:r>
        <w:rPr>
          <w:rFonts w:eastAsia="黑体"/>
          <w:caps/>
          <w:sz w:val="30"/>
          <w:szCs w:val="30"/>
        </w:rPr>
        <w:fldChar w:fldCharType="end"/>
      </w:r>
    </w:p>
    <w:p w14:paraId="77C62145">
      <w:pPr>
        <w:pStyle w:val="8"/>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_Toc21541 </w:instrText>
      </w:r>
      <w:r>
        <w:rPr>
          <w:rFonts w:eastAsia="黑体"/>
          <w:caps/>
          <w:sz w:val="30"/>
          <w:szCs w:val="30"/>
        </w:rPr>
        <w:fldChar w:fldCharType="separate"/>
      </w:r>
      <w:r>
        <w:rPr>
          <w:rFonts w:hint="default" w:ascii="宋体" w:hAnsi="宋体" w:eastAsia="宋体" w:cs="宋体"/>
          <w:sz w:val="30"/>
          <w:szCs w:val="30"/>
        </w:rPr>
        <w:t xml:space="preserve">2.3 </w:t>
      </w:r>
      <w:r>
        <w:rPr>
          <w:rFonts w:hint="eastAsia" w:ascii="宋体" w:hAnsi="宋体" w:eastAsia="宋体" w:cs="宋体"/>
          <w:sz w:val="30"/>
          <w:szCs w:val="30"/>
        </w:rPr>
        <w:t>统计指标项</w:t>
      </w:r>
      <w:r>
        <w:rPr>
          <w:rFonts w:hint="eastAsia" w:ascii="宋体" w:hAnsi="宋体" w:eastAsia="宋体" w:cs="宋体"/>
          <w:sz w:val="30"/>
          <w:szCs w:val="30"/>
          <w:lang w:eastAsia="zh-CN"/>
        </w:rPr>
        <w:t>的</w:t>
      </w:r>
      <w:r>
        <w:rPr>
          <w:rFonts w:hint="eastAsia" w:ascii="宋体" w:hAnsi="宋体" w:eastAsia="宋体" w:cs="宋体"/>
          <w:sz w:val="30"/>
          <w:szCs w:val="30"/>
        </w:rPr>
        <w:t>确定</w:t>
      </w:r>
      <w:r>
        <w:rPr>
          <w:sz w:val="30"/>
          <w:szCs w:val="30"/>
        </w:rPr>
        <w:tab/>
      </w:r>
      <w:r>
        <w:rPr>
          <w:sz w:val="30"/>
          <w:szCs w:val="30"/>
        </w:rPr>
        <w:fldChar w:fldCharType="begin"/>
      </w:r>
      <w:r>
        <w:rPr>
          <w:sz w:val="30"/>
          <w:szCs w:val="30"/>
        </w:rPr>
        <w:instrText xml:space="preserve"> PAGEREF _Toc21541 \h </w:instrText>
      </w:r>
      <w:r>
        <w:rPr>
          <w:sz w:val="30"/>
          <w:szCs w:val="30"/>
        </w:rPr>
        <w:fldChar w:fldCharType="separate"/>
      </w:r>
      <w:r>
        <w:rPr>
          <w:sz w:val="30"/>
          <w:szCs w:val="30"/>
        </w:rPr>
        <w:t>10</w:t>
      </w:r>
      <w:r>
        <w:rPr>
          <w:sz w:val="30"/>
          <w:szCs w:val="30"/>
        </w:rPr>
        <w:fldChar w:fldCharType="end"/>
      </w:r>
      <w:r>
        <w:rPr>
          <w:rFonts w:eastAsia="黑体"/>
          <w:caps/>
          <w:sz w:val="30"/>
          <w:szCs w:val="30"/>
        </w:rPr>
        <w:fldChar w:fldCharType="end"/>
      </w:r>
    </w:p>
    <w:p w14:paraId="409F9E5E">
      <w:pPr>
        <w:pStyle w:val="8"/>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_Toc20387 </w:instrText>
      </w:r>
      <w:r>
        <w:rPr>
          <w:rFonts w:eastAsia="黑体"/>
          <w:caps/>
          <w:sz w:val="30"/>
          <w:szCs w:val="30"/>
        </w:rPr>
        <w:fldChar w:fldCharType="separate"/>
      </w:r>
      <w:r>
        <w:rPr>
          <w:rFonts w:hint="default" w:ascii="宋体" w:hAnsi="宋体" w:eastAsia="宋体" w:cs="宋体"/>
          <w:sz w:val="30"/>
          <w:szCs w:val="30"/>
        </w:rPr>
        <w:t xml:space="preserve">2.4 </w:t>
      </w:r>
      <w:r>
        <w:rPr>
          <w:rFonts w:hint="eastAsia" w:ascii="宋体" w:hAnsi="宋体" w:eastAsia="宋体" w:cs="宋体"/>
          <w:sz w:val="30"/>
          <w:szCs w:val="30"/>
        </w:rPr>
        <w:t>主要统计表组成内容说明</w:t>
      </w:r>
      <w:r>
        <w:rPr>
          <w:sz w:val="30"/>
          <w:szCs w:val="30"/>
        </w:rPr>
        <w:tab/>
      </w:r>
      <w:r>
        <w:rPr>
          <w:sz w:val="30"/>
          <w:szCs w:val="30"/>
        </w:rPr>
        <w:fldChar w:fldCharType="begin"/>
      </w:r>
      <w:r>
        <w:rPr>
          <w:sz w:val="30"/>
          <w:szCs w:val="30"/>
        </w:rPr>
        <w:instrText xml:space="preserve"> PAGEREF _Toc20387 \h </w:instrText>
      </w:r>
      <w:r>
        <w:rPr>
          <w:sz w:val="30"/>
          <w:szCs w:val="30"/>
        </w:rPr>
        <w:fldChar w:fldCharType="separate"/>
      </w:r>
      <w:r>
        <w:rPr>
          <w:sz w:val="30"/>
          <w:szCs w:val="30"/>
        </w:rPr>
        <w:t>10</w:t>
      </w:r>
      <w:r>
        <w:rPr>
          <w:sz w:val="30"/>
          <w:szCs w:val="30"/>
        </w:rPr>
        <w:fldChar w:fldCharType="end"/>
      </w:r>
      <w:r>
        <w:rPr>
          <w:rFonts w:eastAsia="黑体"/>
          <w:caps/>
          <w:sz w:val="30"/>
          <w:szCs w:val="30"/>
        </w:rPr>
        <w:fldChar w:fldCharType="end"/>
      </w:r>
    </w:p>
    <w:p w14:paraId="453A11C1">
      <w:pPr>
        <w:pStyle w:val="7"/>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_Toc2354 </w:instrText>
      </w:r>
      <w:r>
        <w:rPr>
          <w:rFonts w:eastAsia="黑体"/>
          <w:caps/>
          <w:sz w:val="30"/>
          <w:szCs w:val="30"/>
        </w:rPr>
        <w:fldChar w:fldCharType="separate"/>
      </w:r>
      <w:r>
        <w:rPr>
          <w:rFonts w:hint="eastAsia"/>
          <w:sz w:val="30"/>
          <w:szCs w:val="30"/>
        </w:rPr>
        <w:t xml:space="preserve">三、 </w:t>
      </w:r>
      <w:r>
        <w:rPr>
          <w:sz w:val="30"/>
          <w:szCs w:val="30"/>
        </w:rPr>
        <w:t>采用国际标准的程度及水平的简要说明</w:t>
      </w:r>
      <w:r>
        <w:rPr>
          <w:sz w:val="30"/>
          <w:szCs w:val="30"/>
        </w:rPr>
        <w:tab/>
      </w:r>
      <w:r>
        <w:rPr>
          <w:sz w:val="30"/>
          <w:szCs w:val="30"/>
        </w:rPr>
        <w:fldChar w:fldCharType="begin"/>
      </w:r>
      <w:r>
        <w:rPr>
          <w:sz w:val="30"/>
          <w:szCs w:val="30"/>
        </w:rPr>
        <w:instrText xml:space="preserve"> PAGEREF _Toc2354 \h </w:instrText>
      </w:r>
      <w:r>
        <w:rPr>
          <w:sz w:val="30"/>
          <w:szCs w:val="30"/>
        </w:rPr>
        <w:fldChar w:fldCharType="separate"/>
      </w:r>
      <w:r>
        <w:rPr>
          <w:sz w:val="30"/>
          <w:szCs w:val="30"/>
        </w:rPr>
        <w:t>12</w:t>
      </w:r>
      <w:r>
        <w:rPr>
          <w:sz w:val="30"/>
          <w:szCs w:val="30"/>
        </w:rPr>
        <w:fldChar w:fldCharType="end"/>
      </w:r>
      <w:r>
        <w:rPr>
          <w:rFonts w:eastAsia="黑体"/>
          <w:caps/>
          <w:sz w:val="30"/>
          <w:szCs w:val="30"/>
        </w:rPr>
        <w:fldChar w:fldCharType="end"/>
      </w:r>
    </w:p>
    <w:p w14:paraId="5BC1C5E5">
      <w:pPr>
        <w:pStyle w:val="7"/>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_Toc3421 </w:instrText>
      </w:r>
      <w:r>
        <w:rPr>
          <w:rFonts w:eastAsia="黑体"/>
          <w:caps/>
          <w:sz w:val="30"/>
          <w:szCs w:val="30"/>
        </w:rPr>
        <w:fldChar w:fldCharType="separate"/>
      </w:r>
      <w:r>
        <w:rPr>
          <w:rFonts w:hint="eastAsia"/>
          <w:sz w:val="30"/>
          <w:szCs w:val="30"/>
        </w:rPr>
        <w:t xml:space="preserve">四、 </w:t>
      </w:r>
      <w:r>
        <w:rPr>
          <w:sz w:val="30"/>
          <w:szCs w:val="30"/>
        </w:rPr>
        <w:t>重大分歧意见的处理经过和依据</w:t>
      </w:r>
      <w:r>
        <w:rPr>
          <w:sz w:val="30"/>
          <w:szCs w:val="30"/>
        </w:rPr>
        <w:tab/>
      </w:r>
      <w:r>
        <w:rPr>
          <w:sz w:val="30"/>
          <w:szCs w:val="30"/>
        </w:rPr>
        <w:fldChar w:fldCharType="begin"/>
      </w:r>
      <w:r>
        <w:rPr>
          <w:sz w:val="30"/>
          <w:szCs w:val="30"/>
        </w:rPr>
        <w:instrText xml:space="preserve"> PAGEREF _Toc3421 \h </w:instrText>
      </w:r>
      <w:r>
        <w:rPr>
          <w:sz w:val="30"/>
          <w:szCs w:val="30"/>
        </w:rPr>
        <w:fldChar w:fldCharType="separate"/>
      </w:r>
      <w:r>
        <w:rPr>
          <w:sz w:val="30"/>
          <w:szCs w:val="30"/>
        </w:rPr>
        <w:t>12</w:t>
      </w:r>
      <w:r>
        <w:rPr>
          <w:sz w:val="30"/>
          <w:szCs w:val="30"/>
        </w:rPr>
        <w:fldChar w:fldCharType="end"/>
      </w:r>
      <w:r>
        <w:rPr>
          <w:rFonts w:eastAsia="黑体"/>
          <w:caps/>
          <w:sz w:val="30"/>
          <w:szCs w:val="30"/>
        </w:rPr>
        <w:fldChar w:fldCharType="end"/>
      </w:r>
    </w:p>
    <w:p w14:paraId="40D83767">
      <w:pPr>
        <w:pStyle w:val="7"/>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_Toc3975 </w:instrText>
      </w:r>
      <w:r>
        <w:rPr>
          <w:rFonts w:eastAsia="黑体"/>
          <w:caps/>
          <w:sz w:val="30"/>
          <w:szCs w:val="30"/>
        </w:rPr>
        <w:fldChar w:fldCharType="separate"/>
      </w:r>
      <w:r>
        <w:rPr>
          <w:rFonts w:hint="eastAsia"/>
          <w:sz w:val="30"/>
          <w:szCs w:val="30"/>
        </w:rPr>
        <w:t>五、 与有关的现行法律、法规和强制性国家标准的关系</w:t>
      </w:r>
      <w:r>
        <w:rPr>
          <w:sz w:val="30"/>
          <w:szCs w:val="30"/>
        </w:rPr>
        <w:tab/>
      </w:r>
      <w:r>
        <w:rPr>
          <w:sz w:val="30"/>
          <w:szCs w:val="30"/>
        </w:rPr>
        <w:fldChar w:fldCharType="begin"/>
      </w:r>
      <w:r>
        <w:rPr>
          <w:sz w:val="30"/>
          <w:szCs w:val="30"/>
        </w:rPr>
        <w:instrText xml:space="preserve"> PAGEREF _Toc3975 \h </w:instrText>
      </w:r>
      <w:r>
        <w:rPr>
          <w:sz w:val="30"/>
          <w:szCs w:val="30"/>
        </w:rPr>
        <w:fldChar w:fldCharType="separate"/>
      </w:r>
      <w:r>
        <w:rPr>
          <w:sz w:val="30"/>
          <w:szCs w:val="30"/>
        </w:rPr>
        <w:t>12</w:t>
      </w:r>
      <w:r>
        <w:rPr>
          <w:sz w:val="30"/>
          <w:szCs w:val="30"/>
        </w:rPr>
        <w:fldChar w:fldCharType="end"/>
      </w:r>
      <w:r>
        <w:rPr>
          <w:rFonts w:eastAsia="黑体"/>
          <w:caps/>
          <w:sz w:val="30"/>
          <w:szCs w:val="30"/>
        </w:rPr>
        <w:fldChar w:fldCharType="end"/>
      </w:r>
    </w:p>
    <w:p w14:paraId="283FB639">
      <w:pPr>
        <w:pStyle w:val="7"/>
        <w:tabs>
          <w:tab w:val="right" w:leader="dot" w:pos="8306"/>
        </w:tabs>
        <w:rPr>
          <w:sz w:val="30"/>
          <w:szCs w:val="30"/>
        </w:rPr>
      </w:pPr>
      <w:r>
        <w:rPr>
          <w:rFonts w:eastAsia="黑体"/>
          <w:caps/>
          <w:sz w:val="30"/>
          <w:szCs w:val="30"/>
        </w:rPr>
        <w:fldChar w:fldCharType="begin"/>
      </w:r>
      <w:r>
        <w:rPr>
          <w:rFonts w:eastAsia="黑体"/>
          <w:caps/>
          <w:sz w:val="30"/>
          <w:szCs w:val="30"/>
        </w:rPr>
        <w:instrText xml:space="preserve"> HYPERLINK \l _Toc14710 </w:instrText>
      </w:r>
      <w:r>
        <w:rPr>
          <w:rFonts w:eastAsia="黑体"/>
          <w:caps/>
          <w:sz w:val="30"/>
          <w:szCs w:val="30"/>
        </w:rPr>
        <w:fldChar w:fldCharType="separate"/>
      </w:r>
      <w:r>
        <w:rPr>
          <w:rFonts w:hint="eastAsia"/>
          <w:sz w:val="30"/>
          <w:szCs w:val="30"/>
        </w:rPr>
        <w:t xml:space="preserve">六、 </w:t>
      </w:r>
      <w:r>
        <w:rPr>
          <w:sz w:val="30"/>
          <w:szCs w:val="30"/>
        </w:rPr>
        <w:t>贯彻标准的要求和措施建议</w:t>
      </w:r>
      <w:r>
        <w:rPr>
          <w:sz w:val="30"/>
          <w:szCs w:val="30"/>
        </w:rPr>
        <w:tab/>
      </w:r>
      <w:r>
        <w:rPr>
          <w:sz w:val="30"/>
          <w:szCs w:val="30"/>
        </w:rPr>
        <w:fldChar w:fldCharType="begin"/>
      </w:r>
      <w:r>
        <w:rPr>
          <w:sz w:val="30"/>
          <w:szCs w:val="30"/>
        </w:rPr>
        <w:instrText xml:space="preserve"> PAGEREF _Toc14710 \h </w:instrText>
      </w:r>
      <w:r>
        <w:rPr>
          <w:sz w:val="30"/>
          <w:szCs w:val="30"/>
        </w:rPr>
        <w:fldChar w:fldCharType="separate"/>
      </w:r>
      <w:r>
        <w:rPr>
          <w:sz w:val="30"/>
          <w:szCs w:val="30"/>
        </w:rPr>
        <w:t>12</w:t>
      </w:r>
      <w:r>
        <w:rPr>
          <w:sz w:val="30"/>
          <w:szCs w:val="30"/>
        </w:rPr>
        <w:fldChar w:fldCharType="end"/>
      </w:r>
      <w:r>
        <w:rPr>
          <w:rFonts w:eastAsia="黑体"/>
          <w:caps/>
          <w:sz w:val="30"/>
          <w:szCs w:val="30"/>
        </w:rPr>
        <w:fldChar w:fldCharType="end"/>
      </w:r>
    </w:p>
    <w:p w14:paraId="398EF069">
      <w:pPr>
        <w:pStyle w:val="7"/>
        <w:tabs>
          <w:tab w:val="right" w:leader="dot" w:pos="8306"/>
        </w:tabs>
      </w:pPr>
      <w:r>
        <w:rPr>
          <w:rFonts w:eastAsia="黑体"/>
          <w:caps/>
          <w:sz w:val="30"/>
          <w:szCs w:val="30"/>
        </w:rPr>
        <w:fldChar w:fldCharType="begin"/>
      </w:r>
      <w:r>
        <w:rPr>
          <w:rFonts w:eastAsia="黑体"/>
          <w:caps/>
          <w:sz w:val="30"/>
          <w:szCs w:val="30"/>
        </w:rPr>
        <w:instrText xml:space="preserve"> HYPERLINK \l _Toc21785 </w:instrText>
      </w:r>
      <w:r>
        <w:rPr>
          <w:rFonts w:eastAsia="黑体"/>
          <w:caps/>
          <w:sz w:val="30"/>
          <w:szCs w:val="30"/>
        </w:rPr>
        <w:fldChar w:fldCharType="separate"/>
      </w:r>
      <w:r>
        <w:rPr>
          <w:rFonts w:hint="eastAsia"/>
          <w:sz w:val="30"/>
          <w:szCs w:val="30"/>
        </w:rPr>
        <w:t xml:space="preserve">七、 </w:t>
      </w:r>
      <w:r>
        <w:rPr>
          <w:sz w:val="30"/>
          <w:szCs w:val="30"/>
        </w:rPr>
        <w:t>其它应予说明的事项</w:t>
      </w:r>
      <w:r>
        <w:rPr>
          <w:sz w:val="30"/>
          <w:szCs w:val="30"/>
        </w:rPr>
        <w:tab/>
      </w:r>
      <w:r>
        <w:rPr>
          <w:sz w:val="30"/>
          <w:szCs w:val="30"/>
        </w:rPr>
        <w:fldChar w:fldCharType="begin"/>
      </w:r>
      <w:r>
        <w:rPr>
          <w:sz w:val="30"/>
          <w:szCs w:val="30"/>
        </w:rPr>
        <w:instrText xml:space="preserve"> PAGEREF _Toc21785 \h </w:instrText>
      </w:r>
      <w:r>
        <w:rPr>
          <w:sz w:val="30"/>
          <w:szCs w:val="30"/>
        </w:rPr>
        <w:fldChar w:fldCharType="separate"/>
      </w:r>
      <w:r>
        <w:rPr>
          <w:sz w:val="30"/>
          <w:szCs w:val="30"/>
        </w:rPr>
        <w:t>13</w:t>
      </w:r>
      <w:r>
        <w:rPr>
          <w:sz w:val="30"/>
          <w:szCs w:val="30"/>
        </w:rPr>
        <w:fldChar w:fldCharType="end"/>
      </w:r>
      <w:r>
        <w:rPr>
          <w:rFonts w:eastAsia="黑体"/>
          <w:caps/>
          <w:sz w:val="30"/>
          <w:szCs w:val="30"/>
        </w:rPr>
        <w:fldChar w:fldCharType="end"/>
      </w:r>
    </w:p>
    <w:p w14:paraId="71D41892">
      <w:pPr>
        <w:rPr>
          <w:rFonts w:eastAsia="宋体"/>
          <w:b w:val="0"/>
          <w:i w:val="0"/>
          <w:sz w:val="28"/>
        </w:rPr>
      </w:pPr>
      <w:r>
        <w:rPr>
          <w:rFonts w:eastAsia="黑体"/>
          <w:caps/>
          <w:szCs w:val="21"/>
        </w:rPr>
        <w:fldChar w:fldCharType="end"/>
      </w:r>
    </w:p>
    <w:p w14:paraId="346E9944">
      <w:pPr>
        <w:pStyle w:val="7"/>
        <w:jc w:val="center"/>
        <w:rPr>
          <w:rFonts w:ascii="Times New Roman" w:eastAsia="黑体"/>
          <w:sz w:val="32"/>
          <w:szCs w:val="32"/>
        </w:rPr>
        <w:sectPr>
          <w:footerReference r:id="rId3" w:type="default"/>
          <w:pgSz w:w="11906" w:h="16838"/>
          <w:pgMar w:top="1440" w:right="1800" w:bottom="1440" w:left="1800" w:header="851" w:footer="992" w:gutter="0"/>
          <w:cols w:space="425" w:num="1"/>
          <w:docGrid w:type="lines" w:linePitch="312" w:charSpace="0"/>
        </w:sectPr>
      </w:pPr>
      <w:r>
        <w:rPr>
          <w:rFonts w:ascii="Times New Roman" w:eastAsia="黑体"/>
          <w:sz w:val="32"/>
          <w:szCs w:val="32"/>
        </w:rPr>
        <w:t xml:space="preserve">  </w:t>
      </w:r>
      <w:r>
        <w:rPr>
          <w:rFonts w:ascii="Times New Roman" w:eastAsia="黑体"/>
          <w:sz w:val="32"/>
          <w:szCs w:val="32"/>
        </w:rPr>
        <w:br w:type="page"/>
      </w:r>
      <w:bookmarkStart w:id="35" w:name="_GoBack"/>
      <w:bookmarkEnd w:id="35"/>
    </w:p>
    <w:p w14:paraId="549B50C2">
      <w:pPr>
        <w:pStyle w:val="2"/>
        <w:keepNext/>
        <w:keepLines/>
        <w:pageBreakBefore w:val="0"/>
        <w:widowControl w:val="0"/>
        <w:numPr>
          <w:ilvl w:val="0"/>
          <w:numId w:val="1"/>
        </w:numPr>
        <w:kinsoku/>
        <w:wordWrap/>
        <w:overflowPunct/>
        <w:topLinePunct w:val="0"/>
        <w:autoSpaceDE/>
        <w:autoSpaceDN/>
        <w:bidi w:val="0"/>
        <w:adjustRightInd/>
        <w:snapToGrid/>
        <w:spacing w:before="120" w:after="120" w:line="579" w:lineRule="auto"/>
        <w:ind w:left="641" w:leftChars="0" w:hanging="720" w:firstLineChars="0"/>
        <w:jc w:val="left"/>
        <w:textAlignment w:val="auto"/>
        <w:rPr>
          <w:sz w:val="32"/>
          <w:szCs w:val="32"/>
        </w:rPr>
      </w:pPr>
      <w:bookmarkStart w:id="0" w:name="_Toc32085"/>
      <w:r>
        <w:rPr>
          <w:sz w:val="32"/>
          <w:szCs w:val="32"/>
        </w:rPr>
        <w:t>工作简况</w:t>
      </w:r>
      <w:bookmarkEnd w:id="0"/>
    </w:p>
    <w:p w14:paraId="388A921D">
      <w:pPr>
        <w:pStyle w:val="3"/>
        <w:numPr>
          <w:ilvl w:val="1"/>
          <w:numId w:val="2"/>
        </w:numPr>
        <w:bidi w:val="0"/>
        <w:ind w:left="420" w:leftChars="0" w:hanging="420" w:firstLineChars="0"/>
        <w:rPr>
          <w:rFonts w:hint="eastAsia" w:ascii="宋体" w:hAnsi="宋体" w:eastAsia="宋体" w:cs="宋体"/>
        </w:rPr>
      </w:pPr>
      <w:r>
        <w:rPr>
          <w:rFonts w:hint="eastAsia" w:ascii="宋体" w:hAnsi="宋体" w:eastAsia="宋体" w:cs="宋体"/>
          <w:lang w:val="en-US" w:eastAsia="zh-CN"/>
        </w:rPr>
        <w:t xml:space="preserve"> </w:t>
      </w:r>
      <w:bookmarkStart w:id="1" w:name="_Toc13341"/>
      <w:r>
        <w:rPr>
          <w:rFonts w:hint="eastAsia" w:ascii="宋体" w:hAnsi="宋体" w:eastAsia="宋体" w:cs="宋体"/>
        </w:rPr>
        <w:t>任务来源</w:t>
      </w:r>
      <w:bookmarkEnd w:id="1"/>
    </w:p>
    <w:p w14:paraId="70A3084A">
      <w:pPr>
        <w:pStyle w:val="9"/>
        <w:spacing w:before="0" w:beforeAutospacing="0" w:after="0" w:afterAutospacing="0" w:line="360" w:lineRule="auto"/>
        <w:ind w:firstLine="560" w:firstLineChars="200"/>
        <w:jc w:val="both"/>
        <w:rPr>
          <w:rFonts w:ascii="Times New Roman" w:hAnsi="Times New Roman" w:eastAsia="宋体" w:cs="Times New Roman"/>
          <w:b w:val="0"/>
          <w:i w:val="0"/>
          <w:sz w:val="28"/>
        </w:rPr>
      </w:pPr>
      <w:r>
        <w:rPr>
          <w:rFonts w:hint="eastAsia" w:ascii="Times New Roman" w:hAnsi="Times New Roman" w:eastAsia="宋体" w:cs="Times New Roman"/>
          <w:b w:val="0"/>
          <w:i w:val="0"/>
          <w:sz w:val="28"/>
        </w:rPr>
        <w:t>20</w:t>
      </w:r>
      <w:r>
        <w:rPr>
          <w:rFonts w:ascii="Times New Roman" w:hAnsi="Times New Roman" w:eastAsia="宋体" w:cs="Times New Roman"/>
          <w:b w:val="0"/>
          <w:i w:val="0"/>
          <w:sz w:val="28"/>
        </w:rPr>
        <w:t>22</w:t>
      </w:r>
      <w:r>
        <w:rPr>
          <w:rFonts w:hint="eastAsia" w:ascii="Times New Roman" w:hAnsi="Times New Roman" w:eastAsia="宋体" w:cs="Times New Roman"/>
          <w:b w:val="0"/>
          <w:i w:val="0"/>
          <w:sz w:val="28"/>
        </w:rPr>
        <w:t>年</w:t>
      </w:r>
      <w:r>
        <w:rPr>
          <w:rFonts w:ascii="Times New Roman" w:hAnsi="Times New Roman" w:eastAsia="宋体" w:cs="Times New Roman"/>
          <w:b w:val="0"/>
          <w:i w:val="0"/>
          <w:sz w:val="28"/>
        </w:rPr>
        <w:t>7</w:t>
      </w:r>
      <w:r>
        <w:rPr>
          <w:rFonts w:hint="eastAsia" w:ascii="Times New Roman" w:hAnsi="Times New Roman" w:eastAsia="宋体" w:cs="Times New Roman"/>
          <w:b w:val="0"/>
          <w:i w:val="0"/>
          <w:sz w:val="28"/>
        </w:rPr>
        <w:t>月</w:t>
      </w:r>
      <w:r>
        <w:rPr>
          <w:rFonts w:hint="eastAsia" w:ascii="Times New Roman" w:hAnsi="Times New Roman" w:eastAsia="宋体" w:cs="Times New Roman"/>
          <w:b w:val="0"/>
          <w:i w:val="0"/>
          <w:sz w:val="28"/>
          <w:lang w:val="en-US" w:eastAsia="zh-CN"/>
        </w:rPr>
        <w:t>13</w:t>
      </w:r>
      <w:r>
        <w:rPr>
          <w:rFonts w:hint="eastAsia" w:ascii="Times New Roman" w:hAnsi="Times New Roman" w:eastAsia="宋体" w:cs="Times New Roman"/>
          <w:b w:val="0"/>
          <w:i w:val="0"/>
          <w:sz w:val="28"/>
        </w:rPr>
        <w:t>日，宿迁市市场监督管理局发布了《关于下达2022年度宿迁市地方标准项目计划的通知</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，下达了项目名称为《宿迁市</w:t>
      </w:r>
      <w:r>
        <w:rPr>
          <w:rFonts w:hint="eastAsia" w:ascii="Times New Roman" w:hAnsi="Times New Roman" w:eastAsia="宋体" w:cs="Times New Roman"/>
          <w:b w:val="0"/>
          <w:i w:val="0"/>
          <w:sz w:val="28"/>
          <w:lang w:eastAsia="zh-CN"/>
        </w:rPr>
        <w:t>再生水利用配置计量管理规范</w:t>
      </w:r>
      <w:r>
        <w:rPr>
          <w:rFonts w:hint="eastAsia" w:ascii="Times New Roman" w:hAnsi="Times New Roman" w:eastAsia="宋体" w:cs="Times New Roman"/>
          <w:b w:val="0"/>
          <w:i w:val="0"/>
          <w:sz w:val="28"/>
        </w:rPr>
        <w:t>》</w:t>
      </w:r>
      <w:r>
        <w:rPr>
          <w:rFonts w:ascii="Times New Roman" w:hAnsi="Times New Roman" w:eastAsia="宋体" w:cs="Times New Roman"/>
          <w:b w:val="0"/>
          <w:i w:val="0"/>
          <w:sz w:val="28"/>
        </w:rPr>
        <w:t>的</w:t>
      </w:r>
      <w:r>
        <w:rPr>
          <w:rFonts w:hint="eastAsia" w:ascii="Times New Roman" w:hAnsi="Times New Roman" w:eastAsia="宋体" w:cs="Times New Roman"/>
          <w:b w:val="0"/>
          <w:i w:val="0"/>
          <w:sz w:val="28"/>
        </w:rPr>
        <w:t>地方</w:t>
      </w:r>
      <w:r>
        <w:rPr>
          <w:rFonts w:ascii="Times New Roman" w:hAnsi="Times New Roman" w:eastAsia="宋体" w:cs="Times New Roman"/>
          <w:b w:val="0"/>
          <w:i w:val="0"/>
          <w:sz w:val="28"/>
        </w:rPr>
        <w:t>标准编制任务</w:t>
      </w:r>
      <w:r>
        <w:rPr>
          <w:rFonts w:hint="eastAsia" w:ascii="Times New Roman" w:hAnsi="Times New Roman" w:eastAsia="宋体" w:cs="Times New Roman"/>
          <w:b w:val="0"/>
          <w:i w:val="0"/>
          <w:sz w:val="28"/>
        </w:rPr>
        <w:t>。本标准为推荐性标准，标准的主要编制单位为宿迁市节水用水管理服务中心、</w:t>
      </w:r>
      <w:r>
        <w:rPr>
          <w:rFonts w:hint="eastAsia" w:ascii="Times New Roman" w:hAnsi="Times New Roman" w:eastAsia="宋体" w:cs="Times New Roman"/>
          <w:b w:val="0"/>
          <w:i w:val="0"/>
          <w:sz w:val="28"/>
          <w:lang w:eastAsia="zh-CN"/>
        </w:rPr>
        <w:t>水利部发展研究中心</w:t>
      </w:r>
      <w:r>
        <w:rPr>
          <w:rFonts w:hint="eastAsia" w:ascii="Times New Roman" w:hAnsi="Times New Roman" w:eastAsia="宋体" w:cs="Times New Roman"/>
          <w:b w:val="0"/>
          <w:i w:val="0"/>
          <w:sz w:val="28"/>
        </w:rPr>
        <w:t>、</w:t>
      </w:r>
      <w:r>
        <w:rPr>
          <w:rFonts w:hint="eastAsia" w:ascii="Times New Roman" w:hAnsi="Times New Roman" w:eastAsia="宋体" w:cs="Times New Roman"/>
          <w:b w:val="0"/>
          <w:i w:val="0"/>
          <w:sz w:val="28"/>
          <w:lang w:val="en-US" w:eastAsia="zh-CN"/>
        </w:rPr>
        <w:t>南京水利科学研究院、</w:t>
      </w:r>
      <w:r>
        <w:rPr>
          <w:rFonts w:hint="eastAsia" w:ascii="Times New Roman" w:hAnsi="Times New Roman" w:eastAsia="宋体" w:cs="Times New Roman"/>
          <w:b w:val="0"/>
          <w:i w:val="0"/>
          <w:sz w:val="28"/>
        </w:rPr>
        <w:t>宿迁市水利局等，项目周期为1年。</w:t>
      </w:r>
    </w:p>
    <w:p w14:paraId="4C60A425">
      <w:pPr>
        <w:pStyle w:val="3"/>
        <w:numPr>
          <w:ilvl w:val="1"/>
          <w:numId w:val="2"/>
        </w:numPr>
        <w:bidi w:val="0"/>
        <w:ind w:left="420" w:leftChars="0" w:hanging="420" w:firstLineChars="0"/>
        <w:rPr>
          <w:rFonts w:hint="eastAsia" w:ascii="宋体" w:hAnsi="宋体" w:eastAsia="宋体" w:cs="宋体"/>
          <w:b/>
        </w:rPr>
      </w:pPr>
      <w:r>
        <w:rPr>
          <w:rFonts w:hint="eastAsia" w:ascii="宋体" w:hAnsi="宋体" w:eastAsia="宋体" w:cs="宋体"/>
          <w:b/>
          <w:lang w:val="en-US" w:eastAsia="zh-CN"/>
        </w:rPr>
        <w:t xml:space="preserve"> </w:t>
      </w:r>
      <w:bookmarkStart w:id="2" w:name="_Toc10109"/>
      <w:r>
        <w:rPr>
          <w:rFonts w:hint="eastAsia" w:ascii="宋体" w:hAnsi="宋体" w:eastAsia="宋体" w:cs="宋体"/>
          <w:b/>
        </w:rPr>
        <w:t>编制背景</w:t>
      </w:r>
      <w:bookmarkEnd w:id="2"/>
    </w:p>
    <w:p w14:paraId="570897C0">
      <w:pPr>
        <w:pStyle w:val="4"/>
        <w:numPr>
          <w:ilvl w:val="2"/>
          <w:numId w:val="2"/>
        </w:numPr>
        <w:bidi w:val="0"/>
        <w:ind w:left="640" w:leftChars="0" w:hanging="640" w:firstLineChars="0"/>
      </w:pPr>
      <w:bookmarkStart w:id="3" w:name="_Hlk144594037"/>
      <w:r>
        <w:rPr>
          <w:rFonts w:hint="eastAsia"/>
          <w:lang w:val="en-US" w:eastAsia="zh-CN"/>
        </w:rPr>
        <w:t xml:space="preserve"> </w:t>
      </w:r>
      <w:r>
        <w:rPr>
          <w:rFonts w:hint="eastAsia"/>
        </w:rPr>
        <w:t>目的与意义</w:t>
      </w:r>
    </w:p>
    <w:bookmarkEnd w:id="3"/>
    <w:p w14:paraId="17247FBF">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rPr>
        <w:t>宿迁市地势平缓，位于南北气候过渡带，面临水资源时空分布不均、过境水多、蓄水不足、可用水少等问题，是缺水型城市。同时又是水环境敏感地区，国家重大战略工程南水北调东线工程穿越宿迁全境，洪泽湖、骆马湖、中运河、徐洪河既是调水干线，也是沿线重要生活生产水源地，水质标准要求高。在推动高质量发展过程中，宿迁市始终把节约用水工作摆在突出重要的位置，严格落实国家节水行动，加快节水型社会建设，强化节水行业监管，因此缓解城市水资源短缺问题，使用和推广再生水成为最佳选择。</w:t>
      </w:r>
    </w:p>
    <w:p w14:paraId="2A868922">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rPr>
        <w:t>2021年，水利部、国家发展改革委、住房城乡建设部、工业和信息化部、自然资源部、生态环境部六部委联合印发《典型地区再生水利用配置试点方案》（水节约〔2021〕377号），推进典型地区再生水利用配置试点工作。宿迁市作为缺水型城市、水环境敏感地区，具有开展试点较好的典型性和基础条件，目前已入围全国首批“再生水利用配置试点城市”，按照“省级评审、国家备案”原则，下一步将完善相关工作方案，报省政府批准后上报水利部备案。再生水利用计量标准建设是试点建设的重要内容，作为加强再生水利用的必要基础，为推进再生水开发利用提供准确、科学的数据支撑，对提高再生水利用率具有重要意义。因此，其标准的出台亟待提上日程。</w:t>
      </w:r>
    </w:p>
    <w:p w14:paraId="4C2DBF3E">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lang w:val="en-US" w:eastAsia="zh-CN"/>
        </w:rPr>
        <w:t>1</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规范再生水利用配置计量标准是落实国家生态文明建设部署的基本要求</w:t>
      </w:r>
    </w:p>
    <w:p w14:paraId="74AEF7BA">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rPr>
        <w:t>以《水污染防治行动计划》“水十条”为代表的治水举措，旨在进一步加强治理水资源浪费及污染等问题，保护人民赖以生存的一汪碧水，是改善民生、建设小康社会的历史重任，是优化经济发展、促进社会和谐的重大举措，是大力推进生态文明建设的重要内容。牢牢把握习近平总书记“节水优先、空间均衡、系统治理、两手发力”新时期治水方针，把水资源节约贯穿到经济社会发展全过程和各领域，为建设生态文明、推动绿色高质量发展、实现“两个一百年”奋斗目标奠定坚实基础。当前水资源严重紧张，我国各地水务部门均提出有条件的部门要优先使用再生水。再生水利用配置计量是使用好再生水的前置条件，因此，研究和制定地级市规范再生水利用配置计量标准规范再生水利用，有助于推进生态文明建设。</w:t>
      </w:r>
    </w:p>
    <w:p w14:paraId="3A96287F">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lang w:val="en-US" w:eastAsia="zh-CN"/>
        </w:rPr>
        <w:t>2</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规范再生水利用配置计量标准是贯彻落实党中央、国务院有关污水资源化利用决策部署的重要举措</w:t>
      </w:r>
    </w:p>
    <w:p w14:paraId="21DB052B">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rPr>
        <w:t>推广再生水利用设施建设，扩大再生水利用领域和规模，在准确计量和统计的基础上，大幅提高再生水利用率，有利于推进宿迁市污水资源化利用，有效缓解宿迁缺水型城市水资源短缺问题；有利于减少污染物排放或提高排放标准，增加地方环境承载力，为城市经济发展创造新发展空间，推动地方经济社会高质量发展。</w:t>
      </w:r>
    </w:p>
    <w:p w14:paraId="52A59BEF">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lang w:val="en-US" w:eastAsia="zh-CN"/>
        </w:rPr>
        <w:t>3</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再生水配置利用计量是盘活“市场之手”的基本条件</w:t>
      </w:r>
    </w:p>
    <w:p w14:paraId="0B93A55C">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rPr>
        <w:t>目前再生水的主流定价方式为：根据“用途管制、优水优用、鼓励多用”原则，对再生水采用按质分类定价、阶梯式递减定价方法，鼓励供需双方自主协商定价。因此，在准确计量的基础上，可以鼓励发展城市再生水利用产业，通过特许经营、政府购买服务、股权合作等多种方式，引导社会投资再生水利用项目，并通过专项资金、贷款贴息、财政补贴、税收优惠等形式予以扶持企业进入再生水投资建设领域，有利于激发市场潜力。</w:t>
      </w:r>
    </w:p>
    <w:p w14:paraId="59924B4F">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lang w:val="en-US" w:eastAsia="zh-CN"/>
        </w:rPr>
        <w:t>4</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再生水利用配置计量现状</w:t>
      </w:r>
    </w:p>
    <w:p w14:paraId="7B32FA41">
      <w:pPr>
        <w:pStyle w:val="9"/>
        <w:spacing w:before="0" w:beforeAutospacing="0" w:after="0" w:afterAutospacing="0" w:line="360" w:lineRule="auto"/>
        <w:ind w:firstLine="560" w:firstLineChars="200"/>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rPr>
        <w:t>在实际工作中，再生水计量统计存在一定不规范，各地计量统计口径不一，真实利用量不准确。为推动污水资源化利用的科学评价和精准决策，亟需制定再生水利用计量标准规范。</w:t>
      </w:r>
    </w:p>
    <w:p w14:paraId="51E4F669">
      <w:pPr>
        <w:pStyle w:val="4"/>
        <w:numPr>
          <w:ilvl w:val="2"/>
          <w:numId w:val="2"/>
        </w:numPr>
        <w:bidi w:val="0"/>
        <w:ind w:left="640" w:leftChars="0" w:hanging="640" w:firstLineChars="0"/>
        <w:rPr>
          <w:rFonts w:hint="eastAsia"/>
          <w:b/>
        </w:rPr>
      </w:pPr>
      <w:r>
        <w:rPr>
          <w:rFonts w:hint="eastAsia"/>
          <w:b/>
          <w:lang w:val="en-US" w:eastAsia="zh-CN"/>
        </w:rPr>
        <w:t xml:space="preserve"> </w:t>
      </w:r>
      <w:r>
        <w:rPr>
          <w:rFonts w:hint="eastAsia"/>
          <w:b/>
        </w:rPr>
        <w:t>可产生的经济社会和生态效益分析</w:t>
      </w:r>
    </w:p>
    <w:p w14:paraId="568EB8C8">
      <w:pPr>
        <w:pStyle w:val="9"/>
        <w:spacing w:line="360" w:lineRule="auto"/>
        <w:ind w:firstLine="560" w:firstLineChars="200"/>
        <w:rPr>
          <w:rFonts w:ascii="Times New Roman" w:hAnsi="Times New Roman" w:eastAsia="宋体" w:cs="Times New Roman"/>
          <w:b w:val="0"/>
          <w:i w:val="0"/>
          <w:sz w:val="28"/>
        </w:rPr>
      </w:pPr>
      <w:r>
        <w:rPr>
          <w:rFonts w:hint="eastAsia" w:ascii="Times New Roman" w:hAnsi="Times New Roman" w:eastAsia="宋体" w:cs="Times New Roman"/>
          <w:b w:val="0"/>
          <w:i w:val="0"/>
          <w:sz w:val="28"/>
        </w:rPr>
        <w:t>通过编制宿迁市再生水利用计量地方标准，规范再生水统计口径和计量标准，提升再生水计量水平，将为推进宿迁市再生水开发利用提供准确、科学的数据支撑，进一步强化宿迁市再生水开发利用的基础工作，满足推进污水资源化利用、水资源最大刚性约束等考核要求，对提高宿迁市再生水利用率，优化供水结构、增加水资源供给和减少水污染、保障水生态安全都具有重要意义。</w:t>
      </w:r>
    </w:p>
    <w:p w14:paraId="3DD63B41">
      <w:pPr>
        <w:pStyle w:val="3"/>
        <w:numPr>
          <w:ilvl w:val="1"/>
          <w:numId w:val="2"/>
        </w:numPr>
        <w:bidi w:val="0"/>
        <w:ind w:left="420" w:leftChars="0" w:hanging="420" w:firstLineChars="0"/>
        <w:rPr>
          <w:rFonts w:hint="eastAsia" w:ascii="宋体" w:hAnsi="宋体" w:eastAsia="宋体" w:cs="宋体"/>
          <w:b/>
        </w:rPr>
      </w:pPr>
      <w:r>
        <w:rPr>
          <w:rFonts w:hint="eastAsia" w:ascii="宋体" w:hAnsi="宋体" w:eastAsia="宋体" w:cs="宋体"/>
          <w:b/>
          <w:lang w:val="en-US" w:eastAsia="zh-CN"/>
        </w:rPr>
        <w:t xml:space="preserve"> </w:t>
      </w:r>
      <w:bookmarkStart w:id="4" w:name="_Toc19436"/>
      <w:r>
        <w:rPr>
          <w:rFonts w:hint="eastAsia" w:ascii="宋体" w:hAnsi="宋体" w:eastAsia="宋体" w:cs="宋体"/>
          <w:b/>
        </w:rPr>
        <w:t>国内外情况说明</w:t>
      </w:r>
      <w:bookmarkEnd w:id="4"/>
    </w:p>
    <w:p w14:paraId="7C2EBDB9">
      <w:pPr>
        <w:pStyle w:val="4"/>
        <w:numPr>
          <w:ilvl w:val="2"/>
          <w:numId w:val="2"/>
        </w:numPr>
        <w:bidi w:val="0"/>
        <w:ind w:left="640" w:leftChars="0" w:hanging="640" w:firstLineChars="0"/>
        <w:rPr>
          <w:rFonts w:hint="default"/>
          <w:b/>
        </w:rPr>
      </w:pPr>
      <w:r>
        <w:rPr>
          <w:rFonts w:hint="eastAsia"/>
          <w:b/>
        </w:rPr>
        <w:t xml:space="preserve"> </w:t>
      </w:r>
      <w:r>
        <w:rPr>
          <w:rFonts w:hint="default"/>
          <w:b/>
        </w:rPr>
        <w:t>国内外再生水用水计量现状</w:t>
      </w:r>
    </w:p>
    <w:p w14:paraId="6252B2E4">
      <w:pPr>
        <w:spacing w:line="360" w:lineRule="auto"/>
        <w:ind w:firstLine="560" w:firstLineChars="200"/>
        <w:rPr>
          <w:rFonts w:hint="eastAsia" w:ascii="宋体" w:hAnsi="宋体" w:eastAsia="宋体" w:cs="宋体"/>
          <w:b w:val="0"/>
          <w:i w:val="0"/>
          <w:sz w:val="28"/>
          <w:szCs w:val="21"/>
        </w:rPr>
      </w:pPr>
      <w:r>
        <w:rPr>
          <w:rFonts w:hint="eastAsia" w:ascii="宋体" w:hAnsi="宋体" w:eastAsia="宋体" w:cs="宋体"/>
          <w:b w:val="0"/>
          <w:i w:val="0"/>
          <w:sz w:val="28"/>
          <w:szCs w:val="21"/>
        </w:rPr>
        <w:t>当前水资源严重紧张，我国各地方水务部门均提出绿化、环卫等市政用水要优先使用再生水。但无论是自来水还是再生水，至今仍存在偷水、漏水、稽查难、计费不清等现象。针对取水计量问题，各地采用的解决方式主要包括四种，包括：使用“一户一井”，不再所有取水用户共用一个取水井，分派专用的取水井给单独的取水用户使用，从而进行单独核算、单独收费；在取水井内安装“智能水表”或“计量设备”，以物联/卡片/按钮等方式实现机械开锁或智慧锁等；采用“计量设备管理水资源，在取水井附近加装智能加水机，并在数控中心安装“智慧水务大数据系统”，达到“一卡一户，一井多户，分户计量，按户收费”的多重管理模式。</w:t>
      </w:r>
    </w:p>
    <w:p w14:paraId="27BEC1B9">
      <w:pPr>
        <w:pStyle w:val="4"/>
        <w:numPr>
          <w:ilvl w:val="2"/>
          <w:numId w:val="2"/>
        </w:numPr>
        <w:bidi w:val="0"/>
        <w:ind w:left="640" w:leftChars="0" w:hanging="640" w:firstLineChars="0"/>
        <w:rPr>
          <w:rFonts w:hint="default"/>
          <w:b/>
        </w:rPr>
      </w:pPr>
      <w:r>
        <w:rPr>
          <w:rFonts w:hint="eastAsia"/>
          <w:b/>
        </w:rPr>
        <w:t xml:space="preserve"> </w:t>
      </w:r>
      <w:r>
        <w:rPr>
          <w:rFonts w:hint="default"/>
          <w:b/>
        </w:rPr>
        <w:t>国内相关技术发展、政策出台情况</w:t>
      </w:r>
    </w:p>
    <w:p w14:paraId="4E4F54F2">
      <w:pPr>
        <w:spacing w:line="360" w:lineRule="auto"/>
        <w:ind w:firstLine="560" w:firstLineChars="200"/>
        <w:rPr>
          <w:rFonts w:hint="eastAsia" w:ascii="宋体" w:hAnsi="宋体" w:eastAsia="宋体" w:cs="宋体"/>
          <w:b w:val="0"/>
          <w:i w:val="0"/>
          <w:sz w:val="28"/>
          <w:szCs w:val="21"/>
        </w:rPr>
      </w:pPr>
      <w:r>
        <w:rPr>
          <w:rFonts w:hint="eastAsia" w:ascii="宋体" w:hAnsi="宋体" w:eastAsia="宋体" w:cs="宋体"/>
          <w:b w:val="0"/>
          <w:i w:val="0"/>
          <w:sz w:val="28"/>
          <w:szCs w:val="21"/>
        </w:rPr>
        <w:t>目前国内外针对再生水用户推广取水计量器具和科学计量方法，同时采用水流量、水压和水质监测设备，未来再生水计量的普及和推广仍然是推进节水工作的必经之路。一些地区根据不同环境、管理需求，量身定制，安装再生水计量监测系统和智能取水栓，实现定点取水计量收费，帮助客户掌握和利用好再生水使用情况。</w:t>
      </w:r>
    </w:p>
    <w:p w14:paraId="234D5936">
      <w:pPr>
        <w:spacing w:line="360" w:lineRule="auto"/>
        <w:ind w:firstLine="560" w:firstLineChars="200"/>
        <w:rPr>
          <w:rFonts w:hint="eastAsia" w:ascii="宋体" w:hAnsi="宋体" w:eastAsia="宋体" w:cs="宋体"/>
          <w:b w:val="0"/>
          <w:i w:val="0"/>
          <w:sz w:val="28"/>
          <w:szCs w:val="21"/>
        </w:rPr>
      </w:pPr>
      <w:r>
        <w:rPr>
          <w:rFonts w:hint="eastAsia" w:ascii="宋体" w:hAnsi="宋体" w:eastAsia="宋体" w:cs="宋体"/>
          <w:b w:val="0"/>
          <w:i w:val="0"/>
          <w:sz w:val="28"/>
          <w:szCs w:val="21"/>
        </w:rPr>
        <w:t>针对再生水的计量统计规则，水利部出台过《关于进一步加强和规范非常规水源统计工作的通知》，主要针对非常规水源表述、统计口径不一致等问题，规定了非常规水源的统计范围，以进一步加强非常规水源开发利用基础工作。其中规定了可纳入再生水利用量计量统计范围的水量。</w:t>
      </w:r>
    </w:p>
    <w:p w14:paraId="4FD113A9">
      <w:pPr>
        <w:pStyle w:val="3"/>
        <w:numPr>
          <w:ilvl w:val="1"/>
          <w:numId w:val="2"/>
        </w:numPr>
        <w:bidi w:val="0"/>
        <w:ind w:left="420" w:leftChars="0" w:hanging="420" w:firstLineChars="0"/>
        <w:rPr>
          <w:rFonts w:hint="eastAsia" w:ascii="宋体" w:hAnsi="宋体" w:eastAsia="宋体" w:cs="宋体"/>
          <w:b/>
        </w:rPr>
      </w:pPr>
      <w:bookmarkStart w:id="5" w:name="_Toc34315207"/>
      <w:bookmarkStart w:id="6" w:name="_Toc26889809"/>
      <w:bookmarkStart w:id="7" w:name="_Toc26867872"/>
      <w:r>
        <w:rPr>
          <w:rFonts w:hint="eastAsia" w:ascii="宋体" w:hAnsi="宋体" w:eastAsia="宋体" w:cs="宋体"/>
          <w:b/>
          <w:lang w:val="en-US" w:eastAsia="zh-CN"/>
        </w:rPr>
        <w:t xml:space="preserve"> </w:t>
      </w:r>
      <w:bookmarkStart w:id="8" w:name="_Toc20962"/>
      <w:r>
        <w:rPr>
          <w:rFonts w:hint="eastAsia" w:ascii="宋体" w:hAnsi="宋体" w:eastAsia="宋体" w:cs="宋体"/>
          <w:b/>
        </w:rPr>
        <w:t>编制原则和依据</w:t>
      </w:r>
      <w:bookmarkEnd w:id="5"/>
      <w:bookmarkEnd w:id="6"/>
      <w:bookmarkEnd w:id="7"/>
      <w:bookmarkEnd w:id="8"/>
    </w:p>
    <w:p w14:paraId="1BD6DA54">
      <w:pPr>
        <w:pStyle w:val="4"/>
        <w:numPr>
          <w:ilvl w:val="2"/>
          <w:numId w:val="2"/>
        </w:numPr>
        <w:bidi w:val="0"/>
        <w:ind w:left="640" w:leftChars="0" w:hanging="640" w:firstLineChars="0"/>
        <w:rPr>
          <w:rFonts w:hint="eastAsia"/>
          <w:b/>
        </w:rPr>
      </w:pPr>
      <w:bookmarkStart w:id="9" w:name="_Toc34315208"/>
      <w:bookmarkStart w:id="10" w:name="_Toc26889810"/>
      <w:bookmarkStart w:id="11" w:name="_Toc21856"/>
      <w:bookmarkStart w:id="12" w:name="_Toc26867873"/>
      <w:r>
        <w:rPr>
          <w:rFonts w:hint="eastAsia"/>
          <w:b/>
          <w:lang w:val="en-US" w:eastAsia="zh-CN"/>
        </w:rPr>
        <w:t xml:space="preserve"> </w:t>
      </w:r>
      <w:r>
        <w:rPr>
          <w:rFonts w:hint="eastAsia"/>
          <w:b/>
        </w:rPr>
        <w:t>编制原则</w:t>
      </w:r>
      <w:bookmarkEnd w:id="9"/>
      <w:bookmarkEnd w:id="10"/>
      <w:bookmarkEnd w:id="11"/>
      <w:bookmarkEnd w:id="12"/>
    </w:p>
    <w:p w14:paraId="5689334A">
      <w:pPr>
        <w:pStyle w:val="9"/>
        <w:spacing w:before="0" w:beforeAutospacing="0" w:after="0" w:afterAutospacing="0" w:line="360" w:lineRule="auto"/>
        <w:ind w:firstLine="560" w:firstLineChars="200"/>
        <w:jc w:val="both"/>
        <w:rPr>
          <w:rFonts w:ascii="Times New Roman" w:hAnsi="Times New Roman" w:eastAsia="宋体" w:cs="Times New Roman"/>
          <w:b w:val="0"/>
          <w:i w:val="0"/>
          <w:sz w:val="28"/>
        </w:rPr>
      </w:pPr>
      <w:r>
        <w:rPr>
          <w:rFonts w:ascii="Times New Roman" w:hAnsi="Times New Roman" w:eastAsia="宋体" w:cs="Times New Roman"/>
          <w:b w:val="0"/>
          <w:i w:val="0"/>
          <w:sz w:val="28"/>
        </w:rPr>
        <w:t>本标准的制定工作遵循</w:t>
      </w:r>
      <w:r>
        <w:rPr>
          <w:rFonts w:hint="eastAsia" w:ascii="Times New Roman" w:hAnsi="Times New Roman" w:eastAsia="宋体" w:cs="Times New Roman"/>
          <w:b w:val="0"/>
          <w:i w:val="0"/>
          <w:sz w:val="28"/>
        </w:rPr>
        <w:t>“</w:t>
      </w:r>
      <w:r>
        <w:rPr>
          <w:rFonts w:ascii="Times New Roman" w:hAnsi="Times New Roman" w:eastAsia="宋体" w:cs="Times New Roman"/>
          <w:b w:val="0"/>
          <w:i w:val="0"/>
          <w:sz w:val="28"/>
        </w:rPr>
        <w:t>统一性、协调性、适用性、一致性、规范性</w:t>
      </w:r>
      <w:r>
        <w:rPr>
          <w:rFonts w:hint="eastAsia" w:ascii="Times New Roman" w:hAnsi="Times New Roman" w:eastAsia="宋体" w:cs="Times New Roman"/>
          <w:b w:val="0"/>
          <w:i w:val="0"/>
          <w:sz w:val="28"/>
        </w:rPr>
        <w:t>”</w:t>
      </w:r>
      <w:r>
        <w:rPr>
          <w:rFonts w:ascii="Times New Roman" w:hAnsi="Times New Roman" w:eastAsia="宋体" w:cs="Times New Roman"/>
          <w:b w:val="0"/>
          <w:i w:val="0"/>
          <w:sz w:val="28"/>
        </w:rPr>
        <w:t>的原则，本着先进性、科学性、合理性和可操作性的原则，按照GB/T 1.1-2020《标准化工作导则 第</w:t>
      </w:r>
      <w:r>
        <w:rPr>
          <w:rFonts w:hint="eastAsia" w:ascii="Times New Roman" w:hAnsi="Times New Roman" w:eastAsia="宋体" w:cs="Times New Roman"/>
          <w:b w:val="0"/>
          <w:i w:val="0"/>
          <w:sz w:val="28"/>
        </w:rPr>
        <w:t>1</w:t>
      </w:r>
      <w:r>
        <w:rPr>
          <w:rFonts w:ascii="Times New Roman" w:hAnsi="Times New Roman" w:eastAsia="宋体" w:cs="Times New Roman"/>
          <w:b w:val="0"/>
          <w:i w:val="0"/>
          <w:sz w:val="28"/>
        </w:rPr>
        <w:t>部分：</w:t>
      </w:r>
      <w:r>
        <w:rPr>
          <w:rFonts w:hint="eastAsia" w:ascii="Times New Roman" w:hAnsi="Times New Roman" w:eastAsia="宋体" w:cs="Times New Roman"/>
          <w:b w:val="0"/>
          <w:i w:val="0"/>
          <w:sz w:val="28"/>
        </w:rPr>
        <w:t>标准化文件的结构和起草规则</w:t>
      </w:r>
      <w:r>
        <w:rPr>
          <w:rFonts w:ascii="Times New Roman" w:hAnsi="Times New Roman" w:eastAsia="宋体" w:cs="Times New Roman"/>
          <w:b w:val="0"/>
          <w:i w:val="0"/>
          <w:sz w:val="28"/>
        </w:rPr>
        <w:t>》给出的规则编写。</w:t>
      </w:r>
    </w:p>
    <w:p w14:paraId="323928D7">
      <w:pPr>
        <w:pStyle w:val="4"/>
        <w:numPr>
          <w:ilvl w:val="2"/>
          <w:numId w:val="2"/>
        </w:numPr>
        <w:bidi w:val="0"/>
        <w:ind w:left="640" w:leftChars="0" w:hanging="640" w:firstLineChars="0"/>
        <w:rPr>
          <w:rFonts w:hint="eastAsia"/>
          <w:b/>
        </w:rPr>
      </w:pPr>
      <w:bookmarkStart w:id="13" w:name="_Toc26867874"/>
      <w:bookmarkStart w:id="14" w:name="_Toc26889811"/>
      <w:bookmarkStart w:id="15" w:name="_Toc34315209"/>
      <w:r>
        <w:rPr>
          <w:rFonts w:hint="eastAsia"/>
          <w:b/>
          <w:lang w:val="en-US" w:eastAsia="zh-CN"/>
        </w:rPr>
        <w:t xml:space="preserve"> </w:t>
      </w:r>
      <w:r>
        <w:rPr>
          <w:rFonts w:hint="eastAsia"/>
          <w:b/>
        </w:rPr>
        <w:t>编制依据</w:t>
      </w:r>
      <w:bookmarkEnd w:id="13"/>
      <w:bookmarkEnd w:id="14"/>
      <w:bookmarkEnd w:id="15"/>
    </w:p>
    <w:p w14:paraId="6D4FE396">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Times New Roman" w:hAnsi="Times New Roman" w:eastAsia="宋体" w:cs="Times New Roman"/>
          <w:b w:val="0"/>
          <w:i w:val="0"/>
          <w:sz w:val="28"/>
          <w:lang w:eastAsia="zh-CN"/>
        </w:rPr>
      </w:pPr>
      <w:bookmarkStart w:id="16" w:name="_Hlk20215524"/>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lang w:val="en-US" w:eastAsia="zh-CN"/>
        </w:rPr>
        <w:t>1</w:t>
      </w:r>
      <w:r>
        <w:rPr>
          <w:rFonts w:hint="eastAsia" w:ascii="Times New Roman" w:hAnsi="Times New Roman" w:eastAsia="宋体" w:cs="Times New Roman"/>
          <w:b w:val="0"/>
          <w:i w:val="0"/>
          <w:sz w:val="28"/>
          <w:lang w:eastAsia="zh-CN"/>
        </w:rPr>
        <w:t>）法律法规</w:t>
      </w:r>
    </w:p>
    <w:p w14:paraId="14C0ACDD">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Times New Roman" w:hAnsi="Times New Roman" w:eastAsia="宋体" w:cs="Times New Roman"/>
          <w:b w:val="0"/>
          <w:i w:val="0"/>
          <w:sz w:val="28"/>
        </w:rPr>
      </w:pPr>
      <w:r>
        <w:rPr>
          <w:rFonts w:hint="eastAsia" w:ascii="Times New Roman" w:hAnsi="Times New Roman" w:eastAsia="宋体" w:cs="Times New Roman"/>
          <w:b w:val="0"/>
          <w:i w:val="0"/>
          <w:sz w:val="28"/>
        </w:rPr>
        <w:t>本标准贯彻执行《中华人民共和国统计法》《中华人民共和国水法》《中华人民共和国标准化法》《中华人民共和国计量法》《中华人民共和国环境保护法》《中华人民共和国计量法实施细则》等国家法律法规和江苏省制定的相关文件要求；本标准的制定有利于推进《关于推进污水资源化利用的指导意见》（发改环资〔2021〕13号）《典型地区再生水利用配置试点方案》（水节约〔2021〕377号）《江苏省国家节水行动实施方案》、《江苏省节约用水条例》、《江苏省水资源管理条例》的贯彻实施。</w:t>
      </w:r>
    </w:p>
    <w:p w14:paraId="15A0433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hint="eastAsia" w:ascii="Times New Roman" w:hAnsi="Times New Roman" w:eastAsia="宋体" w:cs="Times New Roman"/>
          <w:b w:val="0"/>
          <w:i w:val="0"/>
          <w:sz w:val="28"/>
          <w:lang w:eastAsia="zh-CN"/>
        </w:rPr>
      </w:pP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lang w:val="en-US" w:eastAsia="zh-CN"/>
        </w:rPr>
        <w:t>2</w:t>
      </w:r>
      <w:r>
        <w:rPr>
          <w:rFonts w:hint="eastAsia" w:ascii="Times New Roman" w:hAnsi="Times New Roman" w:eastAsia="宋体" w:cs="Times New Roman"/>
          <w:b w:val="0"/>
          <w:i w:val="0"/>
          <w:sz w:val="28"/>
          <w:lang w:eastAsia="zh-CN"/>
        </w:rPr>
        <w:t>）其它规范性文件</w:t>
      </w:r>
    </w:p>
    <w:p w14:paraId="1CE52A2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ascii="Times New Roman" w:hAnsi="Times New Roman" w:eastAsia="宋体" w:cs="Times New Roman"/>
          <w:b w:val="0"/>
          <w:bCs/>
          <w:i w:val="0"/>
          <w:sz w:val="28"/>
        </w:rPr>
      </w:pPr>
      <w:r>
        <w:rPr>
          <w:rFonts w:hint="eastAsia" w:ascii="Times New Roman" w:hAnsi="Times New Roman" w:eastAsia="宋体" w:cs="Times New Roman"/>
          <w:b w:val="0"/>
          <w:i w:val="0"/>
          <w:sz w:val="28"/>
        </w:rPr>
        <w:t>国内尚无该类标准，本标准参考的标准包括，DB11∕T 1769-2020 《用水单位水计量与统计管理规范》GB/T 41018-2021 《水回用导则 再生水分级》GB 24789 《用水单位计量器具配备和管理通则》等。制定本标准过程中不存在违反相关法律法规及强制性标准的情况。</w:t>
      </w:r>
    </w:p>
    <w:bookmarkEnd w:id="16"/>
    <w:p w14:paraId="327759A9">
      <w:pPr>
        <w:spacing w:line="360" w:lineRule="auto"/>
        <w:jc w:val="center"/>
        <w:rPr>
          <w:rFonts w:ascii="黑体" w:hAnsi="黑体" w:eastAsia="黑体" w:cs="黑体"/>
          <w:szCs w:val="21"/>
        </w:rPr>
      </w:pPr>
    </w:p>
    <w:p w14:paraId="3AC9ADE7">
      <w:pPr>
        <w:pStyle w:val="2"/>
        <w:keepNext/>
        <w:keepLines/>
        <w:pageBreakBefore w:val="0"/>
        <w:widowControl w:val="0"/>
        <w:numPr>
          <w:ilvl w:val="0"/>
          <w:numId w:val="1"/>
        </w:numPr>
        <w:kinsoku/>
        <w:wordWrap/>
        <w:overflowPunct/>
        <w:topLinePunct w:val="0"/>
        <w:autoSpaceDE/>
        <w:autoSpaceDN/>
        <w:bidi w:val="0"/>
        <w:adjustRightInd/>
        <w:snapToGrid/>
        <w:spacing w:before="120" w:after="120" w:line="579" w:lineRule="auto"/>
        <w:ind w:left="641" w:leftChars="0" w:hanging="720" w:firstLineChars="0"/>
        <w:jc w:val="left"/>
        <w:textAlignment w:val="auto"/>
        <w:rPr>
          <w:sz w:val="32"/>
          <w:szCs w:val="32"/>
        </w:rPr>
      </w:pPr>
      <w:bookmarkStart w:id="17" w:name="_Toc23828"/>
      <w:r>
        <w:rPr>
          <w:sz w:val="32"/>
          <w:szCs w:val="32"/>
        </w:rPr>
        <w:t>主要内容技术指标确立</w:t>
      </w:r>
      <w:bookmarkEnd w:id="17"/>
    </w:p>
    <w:p w14:paraId="10FEB479">
      <w:pPr>
        <w:pStyle w:val="9"/>
        <w:adjustRightInd w:val="0"/>
        <w:snapToGrid w:val="0"/>
        <w:spacing w:before="0" w:beforeLines="0" w:beforeAutospacing="0" w:after="0" w:afterLines="0" w:afterAutospacing="0" w:line="360" w:lineRule="auto"/>
        <w:ind w:firstLine="560" w:firstLineChars="200"/>
        <w:jc w:val="both"/>
        <w:rPr>
          <w:rFonts w:eastAsia="黑体"/>
          <w:szCs w:val="20"/>
        </w:rPr>
      </w:pPr>
      <w:r>
        <w:rPr>
          <w:rFonts w:hint="eastAsia" w:ascii="Times New Roman" w:hAnsi="Times New Roman" w:eastAsia="宋体" w:cs="Times New Roman"/>
          <w:b w:val="0"/>
          <w:i w:val="0"/>
          <w:sz w:val="28"/>
        </w:rPr>
        <w:t>本文件从五个方面对再生水利用</w:t>
      </w:r>
      <w:r>
        <w:rPr>
          <w:rFonts w:hint="eastAsia" w:ascii="Times New Roman" w:hAnsi="Times New Roman" w:cs="Times New Roman"/>
          <w:b w:val="0"/>
          <w:i w:val="0"/>
          <w:sz w:val="28"/>
          <w:lang w:val="en-US" w:eastAsia="zh-CN"/>
        </w:rPr>
        <w:t>配置</w:t>
      </w:r>
      <w:r>
        <w:rPr>
          <w:rFonts w:hint="eastAsia" w:ascii="Times New Roman" w:hAnsi="Times New Roman" w:eastAsia="宋体" w:cs="Times New Roman"/>
          <w:b w:val="0"/>
          <w:i w:val="0"/>
          <w:sz w:val="28"/>
        </w:rPr>
        <w:t>计量标准进行规范。一是，应满足取自污水处理厂、再生水厂、再生水输配管网和其它再生水自建设施等不同再生水来源的计量要求。二是，应满足工业生产、市政杂用、生态环境用水和农业灌溉等不同再生水利用途径的计量要求。且还应满足分户计量、分级计量与统计的要求。处于同一建筑或区域的不同再生水用户应分别计量与统计。次级再生水用户、功能区域、再生水利用设备（用水系统）应分别计量与统计。三是，具备条件的企业用水可参照GB/T 24789实行三级计量。四是，应分别计量与统计执行不同水价的再生水。五是，宜建立再生水计量、统计和分析信息平台，并纳入水资源管理系统。</w:t>
      </w:r>
    </w:p>
    <w:p w14:paraId="29626D2B">
      <w:pPr>
        <w:pStyle w:val="3"/>
        <w:numPr>
          <w:ilvl w:val="1"/>
          <w:numId w:val="3"/>
        </w:numPr>
        <w:tabs>
          <w:tab w:val="clear" w:pos="0"/>
        </w:tabs>
        <w:bidi w:val="0"/>
        <w:ind w:left="420" w:leftChars="0" w:hanging="420" w:firstLineChars="0"/>
        <w:rPr>
          <w:rFonts w:hint="eastAsia" w:ascii="宋体" w:hAnsi="宋体" w:eastAsia="宋体" w:cs="宋体"/>
          <w:b/>
        </w:rPr>
      </w:pPr>
      <w:bookmarkStart w:id="18" w:name="_Toc26889821"/>
      <w:bookmarkStart w:id="19" w:name="_Toc34315219"/>
      <w:r>
        <w:rPr>
          <w:rFonts w:hint="eastAsia" w:ascii="宋体" w:hAnsi="宋体" w:eastAsia="宋体" w:cs="宋体"/>
          <w:b/>
          <w:lang w:val="en-US" w:eastAsia="zh-CN"/>
        </w:rPr>
        <w:t xml:space="preserve"> </w:t>
      </w:r>
      <w:bookmarkStart w:id="20" w:name="_Toc4105"/>
      <w:r>
        <w:rPr>
          <w:rFonts w:hint="eastAsia" w:ascii="宋体" w:hAnsi="宋体" w:eastAsia="宋体" w:cs="宋体"/>
          <w:b/>
        </w:rPr>
        <w:t>“再生水”术语</w:t>
      </w:r>
      <w:r>
        <w:rPr>
          <w:rFonts w:hint="eastAsia" w:ascii="宋体" w:hAnsi="宋体" w:eastAsia="宋体" w:cs="宋体"/>
          <w:b/>
          <w:lang w:eastAsia="zh-CN"/>
        </w:rPr>
        <w:t>的</w:t>
      </w:r>
      <w:r>
        <w:rPr>
          <w:rFonts w:hint="eastAsia" w:ascii="宋体" w:hAnsi="宋体" w:eastAsia="宋体" w:cs="宋体"/>
          <w:b/>
        </w:rPr>
        <w:t>界定</w:t>
      </w:r>
      <w:bookmarkEnd w:id="18"/>
      <w:bookmarkEnd w:id="19"/>
      <w:bookmarkEnd w:id="20"/>
    </w:p>
    <w:p w14:paraId="33060CDA">
      <w:pPr>
        <w:pStyle w:val="9"/>
        <w:spacing w:before="0" w:beforeLines="0" w:beforeAutospacing="0" w:after="0" w:afterLines="0" w:afterAutospacing="0" w:line="360" w:lineRule="auto"/>
        <w:ind w:firstLine="560" w:firstLineChars="200"/>
        <w:jc w:val="both"/>
        <w:rPr>
          <w:rFonts w:ascii="Times New Roman" w:hAnsi="Times New Roman" w:eastAsia="宋体" w:cs="Times New Roman"/>
          <w:b w:val="0"/>
          <w:i w:val="0"/>
          <w:sz w:val="28"/>
        </w:rPr>
      </w:pPr>
      <w:r>
        <w:rPr>
          <w:rFonts w:hint="eastAsia" w:ascii="Times New Roman" w:hAnsi="Times New Roman" w:eastAsia="宋体" w:cs="Times New Roman"/>
          <w:b w:val="0"/>
          <w:i w:val="0"/>
          <w:sz w:val="28"/>
        </w:rPr>
        <w:t>在前期详尽调研基础上，</w:t>
      </w:r>
      <w:r>
        <w:rPr>
          <w:rFonts w:hint="eastAsia" w:ascii="Times New Roman" w:hAnsi="Times New Roman" w:eastAsia="宋体" w:cs="Times New Roman"/>
          <w:b w:val="0"/>
          <w:i w:val="0"/>
          <w:sz w:val="28"/>
          <w:lang w:eastAsia="zh-CN"/>
        </w:rPr>
        <w:t>已</w:t>
      </w:r>
      <w:r>
        <w:rPr>
          <w:rFonts w:hint="eastAsia" w:ascii="Times New Roman" w:hAnsi="Times New Roman" w:eastAsia="宋体" w:cs="Times New Roman"/>
          <w:b w:val="0"/>
          <w:i w:val="0"/>
          <w:sz w:val="28"/>
        </w:rPr>
        <w:t>基本</w:t>
      </w:r>
      <w:r>
        <w:rPr>
          <w:rFonts w:hint="eastAsia" w:ascii="Times New Roman" w:hAnsi="Times New Roman" w:eastAsia="宋体" w:cs="Times New Roman"/>
          <w:b w:val="0"/>
          <w:i w:val="0"/>
          <w:sz w:val="28"/>
          <w:lang w:eastAsia="zh-CN"/>
        </w:rPr>
        <w:t>厘清</w:t>
      </w:r>
      <w:r>
        <w:rPr>
          <w:rFonts w:hint="eastAsia" w:ascii="Times New Roman" w:hAnsi="Times New Roman" w:eastAsia="宋体" w:cs="Times New Roman"/>
          <w:b w:val="0"/>
          <w:i w:val="0"/>
          <w:sz w:val="28"/>
        </w:rPr>
        <w:t>宿迁市中心城区再生水厂分布、利用规模、利用途径、再生水处理技术工艺、规划设施、用户需求和潜力等，形成再生水水质提升和后期综合配置利用的技术支撑基础，这些成果</w:t>
      </w:r>
      <w:r>
        <w:rPr>
          <w:rFonts w:hint="eastAsia" w:ascii="Times New Roman" w:hAnsi="Times New Roman" w:eastAsia="宋体" w:cs="Times New Roman"/>
          <w:b w:val="0"/>
          <w:i w:val="0"/>
          <w:sz w:val="28"/>
          <w:lang w:eastAsia="zh-CN"/>
        </w:rPr>
        <w:t>对</w:t>
      </w:r>
      <w:r>
        <w:rPr>
          <w:rFonts w:hint="eastAsia" w:ascii="Times New Roman" w:hAnsi="Times New Roman" w:eastAsia="宋体" w:cs="Times New Roman"/>
          <w:b w:val="0"/>
          <w:i w:val="0"/>
          <w:sz w:val="28"/>
        </w:rPr>
        <w:t>分析再生水用于各类用途的可行性、主要特征、适用情形</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科学制定统计计量规范</w:t>
      </w:r>
      <w:r>
        <w:rPr>
          <w:rFonts w:hint="eastAsia" w:ascii="Times New Roman" w:hAnsi="Times New Roman" w:eastAsia="宋体" w:cs="Times New Roman"/>
          <w:b w:val="0"/>
          <w:i w:val="0"/>
          <w:sz w:val="28"/>
          <w:lang w:eastAsia="zh-CN"/>
        </w:rPr>
        <w:t>起到重要</w:t>
      </w:r>
      <w:r>
        <w:rPr>
          <w:rFonts w:hint="eastAsia" w:ascii="Times New Roman" w:hAnsi="Times New Roman" w:eastAsia="宋体" w:cs="Times New Roman"/>
          <w:b w:val="0"/>
          <w:i w:val="0"/>
          <w:sz w:val="28"/>
        </w:rPr>
        <w:t>支撑</w:t>
      </w:r>
      <w:r>
        <w:rPr>
          <w:rFonts w:hint="eastAsia" w:ascii="Times New Roman" w:hAnsi="Times New Roman" w:eastAsia="宋体" w:cs="Times New Roman"/>
          <w:b w:val="0"/>
          <w:i w:val="0"/>
          <w:sz w:val="28"/>
          <w:lang w:eastAsia="zh-CN"/>
        </w:rPr>
        <w:t>作用</w:t>
      </w:r>
      <w:r>
        <w:rPr>
          <w:rFonts w:hint="eastAsia" w:ascii="Times New Roman" w:hAnsi="Times New Roman" w:eastAsia="宋体" w:cs="Times New Roman"/>
          <w:b w:val="0"/>
          <w:i w:val="0"/>
          <w:sz w:val="28"/>
        </w:rPr>
        <w:t>。</w:t>
      </w:r>
      <w:r>
        <w:rPr>
          <w:rFonts w:hint="eastAsia" w:ascii="Times New Roman" w:hAnsi="Times New Roman" w:eastAsia="宋体" w:cs="Times New Roman"/>
          <w:b w:val="0"/>
          <w:i w:val="0"/>
          <w:sz w:val="28"/>
          <w:lang w:eastAsia="zh-CN"/>
        </w:rPr>
        <w:t>结合</w:t>
      </w:r>
      <w:r>
        <w:rPr>
          <w:rFonts w:hint="eastAsia" w:ascii="Times New Roman" w:hAnsi="Times New Roman" w:eastAsia="宋体" w:cs="Times New Roman"/>
          <w:b w:val="0"/>
          <w:i w:val="0"/>
          <w:sz w:val="28"/>
        </w:rPr>
        <w:t>《水资源术语》（GB/T 30943-2014）</w:t>
      </w:r>
      <w:r>
        <w:rPr>
          <w:rFonts w:hint="eastAsia" w:ascii="Times New Roman" w:hAnsi="Times New Roman" w:eastAsia="宋体" w:cs="Times New Roman"/>
          <w:b w:val="0"/>
          <w:i w:val="0"/>
          <w:sz w:val="28"/>
          <w:lang w:eastAsia="zh-CN"/>
        </w:rPr>
        <w:t>的规范，确定了本文件中的“再生水”术语和定义，即</w:t>
      </w:r>
      <w:r>
        <w:rPr>
          <w:rFonts w:hint="eastAsia" w:ascii="Times New Roman" w:hAnsi="Times New Roman" w:eastAsia="宋体" w:cs="Times New Roman"/>
          <w:b w:val="0"/>
          <w:i w:val="0"/>
          <w:sz w:val="28"/>
        </w:rPr>
        <w:t>污水经过适当处理后，达到一定的水质指标，满足某种使用要求，可以再次利用的水。</w:t>
      </w:r>
      <w:r>
        <w:rPr>
          <w:rFonts w:hint="eastAsia" w:ascii="Times New Roman" w:hAnsi="Times New Roman" w:eastAsia="宋体" w:cs="Times New Roman"/>
          <w:b w:val="0"/>
          <w:i w:val="0"/>
          <w:sz w:val="28"/>
          <w:lang w:eastAsia="zh-CN"/>
        </w:rPr>
        <w:t>在</w:t>
      </w:r>
      <w:r>
        <w:rPr>
          <w:rFonts w:hint="eastAsia" w:ascii="Times New Roman" w:hAnsi="Times New Roman" w:eastAsia="宋体" w:cs="Times New Roman"/>
          <w:b w:val="0"/>
          <w:i w:val="0"/>
          <w:sz w:val="28"/>
        </w:rPr>
        <w:t>本文件</w:t>
      </w:r>
      <w:r>
        <w:rPr>
          <w:rFonts w:hint="eastAsia" w:ascii="Times New Roman" w:hAnsi="Times New Roman" w:eastAsia="宋体" w:cs="Times New Roman"/>
          <w:b w:val="0"/>
          <w:i w:val="0"/>
          <w:sz w:val="28"/>
          <w:lang w:eastAsia="zh-CN"/>
        </w:rPr>
        <w:t>中，</w:t>
      </w:r>
      <w:r>
        <w:rPr>
          <w:rFonts w:hint="eastAsia" w:ascii="Times New Roman" w:hAnsi="Times New Roman" w:eastAsia="宋体" w:cs="Times New Roman"/>
          <w:b w:val="0"/>
          <w:i w:val="0"/>
          <w:sz w:val="28"/>
        </w:rPr>
        <w:t>适用于工业生产、市政杂用、生态环境、农业灌溉等领域的再生水计量工作。</w:t>
      </w:r>
    </w:p>
    <w:p w14:paraId="3DCB18D6">
      <w:pPr>
        <w:pStyle w:val="3"/>
        <w:numPr>
          <w:ilvl w:val="1"/>
          <w:numId w:val="3"/>
        </w:numPr>
        <w:tabs>
          <w:tab w:val="clear" w:pos="0"/>
        </w:tabs>
        <w:bidi w:val="0"/>
        <w:ind w:left="420" w:leftChars="0" w:hanging="420" w:firstLineChars="0"/>
        <w:rPr>
          <w:rFonts w:hint="eastAsia" w:ascii="宋体" w:hAnsi="宋体" w:eastAsia="宋体" w:cs="宋体"/>
          <w:b/>
        </w:rPr>
      </w:pPr>
      <w:bookmarkStart w:id="21" w:name="_Toc26867885"/>
      <w:bookmarkStart w:id="22" w:name="_Toc26889824"/>
      <w:bookmarkStart w:id="23" w:name="_Toc34315222"/>
      <w:r>
        <w:rPr>
          <w:rFonts w:hint="eastAsia" w:ascii="宋体" w:hAnsi="宋体" w:eastAsia="宋体" w:cs="宋体"/>
          <w:b/>
          <w:lang w:val="en-US" w:eastAsia="zh-CN"/>
        </w:rPr>
        <w:t xml:space="preserve"> </w:t>
      </w:r>
      <w:bookmarkStart w:id="24" w:name="_Toc22304"/>
      <w:r>
        <w:rPr>
          <w:rFonts w:hint="eastAsia" w:ascii="宋体" w:hAnsi="宋体" w:eastAsia="宋体" w:cs="宋体"/>
          <w:b/>
        </w:rPr>
        <w:t>计量设施</w:t>
      </w:r>
      <w:r>
        <w:rPr>
          <w:rFonts w:hint="eastAsia" w:ascii="宋体" w:hAnsi="宋体" w:eastAsia="宋体" w:cs="宋体"/>
          <w:b/>
          <w:lang w:eastAsia="zh-CN"/>
        </w:rPr>
        <w:t>配备</w:t>
      </w:r>
      <w:r>
        <w:rPr>
          <w:rFonts w:hint="eastAsia" w:ascii="宋体" w:hAnsi="宋体" w:eastAsia="宋体" w:cs="宋体"/>
          <w:b/>
        </w:rPr>
        <w:t>率</w:t>
      </w:r>
      <w:r>
        <w:rPr>
          <w:rFonts w:hint="eastAsia" w:ascii="宋体" w:hAnsi="宋体" w:eastAsia="宋体" w:cs="宋体"/>
          <w:b/>
          <w:lang w:eastAsia="zh-CN"/>
        </w:rPr>
        <w:t>的</w:t>
      </w:r>
      <w:r>
        <w:rPr>
          <w:rFonts w:hint="eastAsia" w:ascii="宋体" w:hAnsi="宋体" w:eastAsia="宋体" w:cs="宋体"/>
          <w:b/>
        </w:rPr>
        <w:t>确定</w:t>
      </w:r>
      <w:bookmarkEnd w:id="24"/>
    </w:p>
    <w:p w14:paraId="7599E7EB">
      <w:pPr>
        <w:pStyle w:val="9"/>
        <w:spacing w:before="0" w:beforeLines="0" w:beforeAutospacing="0" w:after="0" w:afterLines="0" w:afterAutospacing="0" w:line="360" w:lineRule="auto"/>
        <w:ind w:firstLine="560" w:firstLineChars="200"/>
        <w:jc w:val="both"/>
        <w:rPr>
          <w:rFonts w:hint="eastAsia" w:ascii="Times New Roman" w:hAnsi="Times New Roman" w:eastAsia="宋体" w:cs="Times New Roman"/>
          <w:b w:val="0"/>
          <w:i w:val="0"/>
          <w:sz w:val="28"/>
          <w:lang w:eastAsia="zh-CN"/>
        </w:rPr>
      </w:pPr>
      <w:r>
        <w:rPr>
          <w:rFonts w:hint="eastAsia" w:ascii="Times New Roman" w:hAnsi="Times New Roman" w:eastAsia="宋体" w:cs="Times New Roman"/>
          <w:b w:val="0"/>
          <w:i w:val="0"/>
          <w:sz w:val="28"/>
          <w:lang w:eastAsia="zh-CN"/>
        </w:rPr>
        <w:t>按照</w:t>
      </w:r>
      <w:r>
        <w:rPr>
          <w:rFonts w:hint="eastAsia" w:ascii="Times New Roman" w:hAnsi="Times New Roman" w:eastAsia="宋体" w:cs="Times New Roman"/>
          <w:b w:val="0"/>
          <w:i w:val="0"/>
          <w:sz w:val="28"/>
        </w:rPr>
        <w:t>GB/T 24789-2022 用水单位水计量器具配备和管理通则</w:t>
      </w:r>
      <w:r>
        <w:rPr>
          <w:rFonts w:hint="eastAsia" w:ascii="Times New Roman" w:hAnsi="Times New Roman" w:eastAsia="宋体" w:cs="Times New Roman"/>
          <w:b w:val="0"/>
          <w:i w:val="0"/>
          <w:sz w:val="28"/>
          <w:lang w:eastAsia="zh-CN"/>
        </w:rPr>
        <w:t>中</w:t>
      </w:r>
      <w:r>
        <w:rPr>
          <w:rFonts w:hint="eastAsia" w:ascii="Times New Roman" w:hAnsi="Times New Roman" w:eastAsia="宋体" w:cs="Times New Roman"/>
          <w:b w:val="0"/>
          <w:i w:val="0"/>
          <w:sz w:val="28"/>
        </w:rPr>
        <w:t>确定的方法</w:t>
      </w:r>
      <w:r>
        <w:rPr>
          <w:rFonts w:hint="eastAsia" w:ascii="Times New Roman" w:hAnsi="Times New Roman" w:eastAsia="宋体" w:cs="Times New Roman"/>
          <w:b w:val="0"/>
          <w:i w:val="0"/>
          <w:sz w:val="28"/>
          <w:lang w:eastAsia="zh-CN"/>
        </w:rPr>
        <w:t>，结合宿迁市的实际情况，确定了</w:t>
      </w:r>
      <w:r>
        <w:rPr>
          <w:rFonts w:hint="eastAsia" w:ascii="Times New Roman" w:hAnsi="Times New Roman" w:eastAsia="宋体" w:cs="Times New Roman"/>
          <w:b w:val="0"/>
          <w:i w:val="0"/>
          <w:sz w:val="28"/>
        </w:rPr>
        <w:t>适用于工业生产、市政杂用、生态环境、农业灌溉等领域的</w:t>
      </w:r>
      <w:r>
        <w:rPr>
          <w:rFonts w:hint="eastAsia" w:ascii="Times New Roman" w:hAnsi="Times New Roman" w:eastAsia="宋体" w:cs="Times New Roman"/>
          <w:b w:val="0"/>
          <w:i w:val="0"/>
          <w:sz w:val="28"/>
          <w:lang w:eastAsia="zh-CN"/>
        </w:rPr>
        <w:t>计量设施配备率。</w:t>
      </w:r>
    </w:p>
    <w:p w14:paraId="27F306B9">
      <w:pPr>
        <w:pStyle w:val="9"/>
        <w:spacing w:before="0" w:beforeLines="0" w:beforeAutospacing="0" w:after="0" w:afterLines="0" w:afterAutospacing="0" w:line="360" w:lineRule="auto"/>
        <w:ind w:firstLine="560" w:firstLineChars="200"/>
        <w:jc w:val="both"/>
        <w:rPr>
          <w:rFonts w:hint="default" w:ascii="Times New Roman" w:hAnsi="Times New Roman" w:eastAsia="宋体" w:cs="Times New Roman"/>
          <w:b w:val="0"/>
          <w:i w:val="0"/>
          <w:sz w:val="28"/>
          <w:lang w:val="en-US" w:eastAsia="zh-CN"/>
        </w:rPr>
      </w:pPr>
      <w:r>
        <w:rPr>
          <w:rFonts w:hint="eastAsia" w:ascii="Times New Roman" w:hAnsi="Times New Roman" w:eastAsia="宋体" w:cs="Times New Roman"/>
          <w:b w:val="0"/>
          <w:i w:val="0"/>
          <w:sz w:val="28"/>
          <w:lang w:eastAsia="zh-CN"/>
        </w:rPr>
        <w:t>其中，工业生产再生水和市政杂用再生水计量器具的配备均按照再生水用户、次级再生水用户和主要再生水利用（用水）设备划分，计量器具的配备率分别达到</w:t>
      </w:r>
      <w:r>
        <w:rPr>
          <w:rFonts w:hint="eastAsia" w:ascii="Times New Roman" w:hAnsi="Times New Roman" w:eastAsia="宋体" w:cs="Times New Roman"/>
          <w:b w:val="0"/>
          <w:i w:val="0"/>
          <w:sz w:val="28"/>
          <w:lang w:val="en-US" w:eastAsia="zh-CN"/>
        </w:rPr>
        <w:t>100%、95%和85%，生态环境再生水和农业灌溉再生水计量器具要求在取水口达到100%的配备率。</w:t>
      </w:r>
    </w:p>
    <w:p w14:paraId="1F195EFD">
      <w:pPr>
        <w:pStyle w:val="3"/>
        <w:numPr>
          <w:ilvl w:val="1"/>
          <w:numId w:val="3"/>
        </w:numPr>
        <w:tabs>
          <w:tab w:val="clear" w:pos="0"/>
        </w:tabs>
        <w:bidi w:val="0"/>
        <w:ind w:left="420" w:leftChars="0" w:hanging="420" w:firstLineChars="0"/>
        <w:rPr>
          <w:rFonts w:hint="eastAsia" w:ascii="宋体" w:hAnsi="宋体" w:eastAsia="宋体" w:cs="宋体"/>
          <w:b/>
        </w:rPr>
      </w:pPr>
      <w:r>
        <w:rPr>
          <w:rFonts w:hint="eastAsia" w:ascii="宋体" w:hAnsi="宋体" w:eastAsia="宋体" w:cs="宋体"/>
          <w:b/>
          <w:lang w:val="en-US" w:eastAsia="zh-CN"/>
        </w:rPr>
        <w:t xml:space="preserve"> </w:t>
      </w:r>
      <w:bookmarkStart w:id="25" w:name="_Toc21541"/>
      <w:r>
        <w:rPr>
          <w:rFonts w:hint="eastAsia" w:ascii="宋体" w:hAnsi="宋体" w:eastAsia="宋体" w:cs="宋体"/>
          <w:b/>
        </w:rPr>
        <w:t>统计指标项</w:t>
      </w:r>
      <w:r>
        <w:rPr>
          <w:rFonts w:hint="eastAsia" w:ascii="宋体" w:hAnsi="宋体" w:eastAsia="宋体" w:cs="宋体"/>
          <w:b/>
          <w:lang w:eastAsia="zh-CN"/>
        </w:rPr>
        <w:t>的</w:t>
      </w:r>
      <w:r>
        <w:rPr>
          <w:rFonts w:hint="eastAsia" w:ascii="宋体" w:hAnsi="宋体" w:eastAsia="宋体" w:cs="宋体"/>
          <w:b/>
        </w:rPr>
        <w:t>确定</w:t>
      </w:r>
      <w:bookmarkEnd w:id="21"/>
      <w:bookmarkEnd w:id="22"/>
      <w:bookmarkEnd w:id="23"/>
      <w:bookmarkEnd w:id="25"/>
    </w:p>
    <w:p w14:paraId="40FAB4BF">
      <w:pPr>
        <w:pStyle w:val="9"/>
        <w:adjustRightInd w:val="0"/>
        <w:snapToGrid w:val="0"/>
        <w:spacing w:before="0" w:beforeLines="0" w:beforeAutospacing="0" w:after="0" w:afterLines="0" w:afterAutospacing="0" w:line="360" w:lineRule="auto"/>
        <w:ind w:firstLine="560" w:firstLineChars="200"/>
        <w:jc w:val="both"/>
        <w:rPr>
          <w:rFonts w:hint="eastAsia" w:ascii="Times New Roman" w:hAnsi="Times New Roman" w:eastAsia="宋体" w:cs="Times New Roman"/>
          <w:b w:val="0"/>
          <w:i w:val="0"/>
          <w:sz w:val="28"/>
        </w:rPr>
      </w:pPr>
      <w:bookmarkStart w:id="26" w:name="_Toc102948978"/>
      <w:bookmarkEnd w:id="26"/>
      <w:r>
        <w:rPr>
          <w:rFonts w:hint="eastAsia" w:ascii="Times New Roman" w:hAnsi="Times New Roman" w:eastAsia="宋体" w:cs="Times New Roman"/>
          <w:b w:val="0"/>
          <w:i w:val="0"/>
          <w:sz w:val="28"/>
          <w:lang w:eastAsia="zh-CN"/>
        </w:rPr>
        <w:t>按照</w:t>
      </w:r>
      <w:r>
        <w:rPr>
          <w:rFonts w:hint="eastAsia" w:ascii="Times New Roman" w:hAnsi="Times New Roman" w:eastAsia="宋体" w:cs="Times New Roman"/>
          <w:b w:val="0"/>
          <w:i w:val="0"/>
          <w:sz w:val="28"/>
        </w:rPr>
        <w:t>GB/T 41018-2021确定的</w:t>
      </w:r>
      <w:r>
        <w:rPr>
          <w:rFonts w:hint="eastAsia" w:ascii="Times New Roman" w:hAnsi="Times New Roman" w:eastAsia="宋体" w:cs="Times New Roman"/>
          <w:b w:val="0"/>
          <w:i w:val="0"/>
          <w:sz w:val="28"/>
          <w:lang w:eastAsia="zh-CN"/>
        </w:rPr>
        <w:t>水质</w:t>
      </w:r>
      <w:r>
        <w:rPr>
          <w:rFonts w:hint="eastAsia" w:ascii="Times New Roman" w:hAnsi="Times New Roman" w:eastAsia="宋体" w:cs="Times New Roman"/>
          <w:b w:val="0"/>
          <w:i w:val="0"/>
          <w:sz w:val="28"/>
        </w:rPr>
        <w:t>标准要求</w:t>
      </w:r>
      <w:r>
        <w:rPr>
          <w:rFonts w:hint="eastAsia" w:ascii="Times New Roman" w:hAnsi="Times New Roman" w:eastAsia="宋体" w:cs="Times New Roman"/>
          <w:b w:val="0"/>
          <w:i w:val="0"/>
          <w:sz w:val="28"/>
          <w:lang w:eastAsia="zh-CN"/>
        </w:rPr>
        <w:t>，结合宿迁市的实际情况，确定了适用于</w:t>
      </w:r>
      <w:r>
        <w:rPr>
          <w:rFonts w:hint="eastAsia" w:ascii="Times New Roman" w:hAnsi="Times New Roman" w:eastAsia="宋体" w:cs="Times New Roman"/>
          <w:b w:val="0"/>
          <w:i w:val="0"/>
          <w:sz w:val="28"/>
        </w:rPr>
        <w:t>工业生产、市政杂用、生态环境、农业灌溉等领域的</w:t>
      </w:r>
      <w:r>
        <w:rPr>
          <w:rFonts w:hint="eastAsia" w:ascii="Times New Roman" w:hAnsi="Times New Roman" w:eastAsia="宋体" w:cs="Times New Roman"/>
          <w:b w:val="0"/>
          <w:i w:val="0"/>
          <w:sz w:val="28"/>
          <w:lang w:eastAsia="zh-CN"/>
        </w:rPr>
        <w:t>统计指标要求</w:t>
      </w:r>
      <w:r>
        <w:rPr>
          <w:rFonts w:hint="eastAsia" w:ascii="Times New Roman" w:hAnsi="Times New Roman" w:eastAsia="宋体" w:cs="Times New Roman"/>
          <w:b w:val="0"/>
          <w:i w:val="0"/>
          <w:sz w:val="28"/>
        </w:rPr>
        <w:t>。</w:t>
      </w:r>
    </w:p>
    <w:p w14:paraId="7FEADBEE">
      <w:pPr>
        <w:pStyle w:val="9"/>
        <w:adjustRightInd w:val="0"/>
        <w:snapToGrid w:val="0"/>
        <w:spacing w:before="0" w:beforeLines="0" w:beforeAutospacing="0" w:after="0" w:afterLines="0" w:afterAutospacing="0" w:line="360" w:lineRule="auto"/>
        <w:ind w:firstLine="560" w:firstLineChars="200"/>
        <w:jc w:val="both"/>
        <w:rPr>
          <w:rFonts w:hint="eastAsia" w:ascii="Times New Roman" w:hAnsi="Times New Roman" w:eastAsia="宋体" w:cs="Times New Roman"/>
          <w:b w:val="0"/>
          <w:i w:val="0"/>
          <w:sz w:val="28"/>
          <w:lang w:eastAsia="zh-CN"/>
        </w:rPr>
      </w:pPr>
      <w:r>
        <w:rPr>
          <w:rFonts w:hint="eastAsia" w:ascii="Times New Roman" w:hAnsi="Times New Roman" w:eastAsia="宋体" w:cs="Times New Roman"/>
          <w:b w:val="0"/>
          <w:i w:val="0"/>
          <w:sz w:val="28"/>
        </w:rPr>
        <w:t>工业生产，宜每年统计再生水用户、次级再生水用户和再生水利用设备（用水系统）的各水量和指标</w:t>
      </w:r>
      <w:r>
        <w:rPr>
          <w:rFonts w:hint="eastAsia" w:ascii="Times New Roman" w:hAnsi="Times New Roman" w:eastAsia="宋体" w:cs="Times New Roman"/>
          <w:b w:val="0"/>
          <w:i w:val="0"/>
          <w:sz w:val="28"/>
          <w:lang w:eastAsia="zh-CN"/>
        </w:rPr>
        <w:t>，包括</w:t>
      </w:r>
      <w:r>
        <w:rPr>
          <w:rFonts w:hint="eastAsia" w:ascii="Times New Roman" w:hAnsi="Times New Roman" w:eastAsia="宋体" w:cs="Times New Roman"/>
          <w:b w:val="0"/>
          <w:i w:val="0"/>
          <w:sz w:val="28"/>
        </w:rPr>
        <w:t>再生水水源取水量</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重复利用水量</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循环水量</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重复利用率</w:t>
      </w:r>
      <w:r>
        <w:rPr>
          <w:rFonts w:hint="eastAsia" w:ascii="Times New Roman" w:hAnsi="Times New Roman" w:eastAsia="宋体" w:cs="Times New Roman"/>
          <w:b w:val="0"/>
          <w:i w:val="0"/>
          <w:sz w:val="28"/>
          <w:lang w:eastAsia="zh-CN"/>
        </w:rPr>
        <w:t>、</w:t>
      </w:r>
      <w:r>
        <w:rPr>
          <w:rFonts w:hint="eastAsia" w:ascii="Times New Roman" w:hAnsi="Times New Roman" w:eastAsia="宋体" w:cs="Times New Roman"/>
          <w:b w:val="0"/>
          <w:i w:val="0"/>
          <w:sz w:val="28"/>
        </w:rPr>
        <w:t>工业废水回用率</w:t>
      </w:r>
      <w:r>
        <w:rPr>
          <w:rFonts w:hint="eastAsia" w:ascii="Times New Roman" w:hAnsi="Times New Roman" w:eastAsia="宋体" w:cs="Times New Roman"/>
          <w:b w:val="0"/>
          <w:i w:val="0"/>
          <w:sz w:val="28"/>
          <w:lang w:eastAsia="zh-CN"/>
        </w:rPr>
        <w:t>等；市政杂用包括再生水水源取水量、重复利用水量；生态环境和农业灌溉则统计再生水水源取水量即可。</w:t>
      </w:r>
    </w:p>
    <w:p w14:paraId="4FC49C5C">
      <w:pPr>
        <w:pStyle w:val="3"/>
        <w:numPr>
          <w:ilvl w:val="1"/>
          <w:numId w:val="3"/>
        </w:numPr>
        <w:tabs>
          <w:tab w:val="clear" w:pos="0"/>
        </w:tabs>
        <w:bidi w:val="0"/>
        <w:ind w:left="420" w:leftChars="0" w:hanging="420" w:firstLineChars="0"/>
        <w:rPr>
          <w:rFonts w:hint="eastAsia" w:ascii="宋体" w:hAnsi="宋体" w:eastAsia="宋体" w:cs="宋体"/>
          <w:b/>
        </w:rPr>
      </w:pPr>
      <w:r>
        <w:rPr>
          <w:rFonts w:hint="eastAsia" w:ascii="宋体" w:hAnsi="宋体" w:eastAsia="宋体" w:cs="宋体"/>
          <w:b/>
          <w:lang w:val="en-US" w:eastAsia="zh-CN"/>
        </w:rPr>
        <w:t xml:space="preserve"> </w:t>
      </w:r>
      <w:bookmarkStart w:id="27" w:name="_Toc20387"/>
      <w:r>
        <w:rPr>
          <w:rFonts w:hint="eastAsia" w:ascii="宋体" w:hAnsi="宋体" w:eastAsia="宋体" w:cs="宋体"/>
          <w:b/>
        </w:rPr>
        <w:t>主要统计表组成内容说明</w:t>
      </w:r>
      <w:bookmarkEnd w:id="27"/>
    </w:p>
    <w:p w14:paraId="101CEEAD">
      <w:pPr>
        <w:pStyle w:val="9"/>
        <w:adjustRightInd w:val="0"/>
        <w:snapToGrid w:val="0"/>
        <w:spacing w:before="0" w:beforeLines="0" w:beforeAutospacing="0" w:after="0" w:afterLines="0" w:afterAutospacing="0" w:line="360" w:lineRule="auto"/>
        <w:ind w:firstLine="560" w:firstLineChars="200"/>
        <w:rPr>
          <w:rFonts w:hint="eastAsia" w:ascii="宋体" w:hAnsi="宋体" w:eastAsia="宋体" w:cs="宋体"/>
          <w:b w:val="0"/>
          <w:bCs/>
          <w:i w:val="0"/>
          <w:sz w:val="28"/>
          <w:szCs w:val="21"/>
        </w:rPr>
      </w:pPr>
      <w:r>
        <w:rPr>
          <w:rFonts w:hint="eastAsia" w:ascii="宋体" w:hAnsi="宋体" w:eastAsia="宋体" w:cs="宋体"/>
          <w:b w:val="0"/>
          <w:bCs/>
          <w:i w:val="0"/>
          <w:sz w:val="28"/>
          <w:szCs w:val="21"/>
          <w:lang w:eastAsia="zh-CN"/>
        </w:rPr>
        <w:t>附录表</w:t>
      </w:r>
      <w:r>
        <w:rPr>
          <w:rFonts w:hint="default" w:ascii="Times New Roman" w:hAnsi="Times New Roman" w:eastAsia="宋体" w:cs="Times New Roman"/>
          <w:b w:val="0"/>
          <w:bCs/>
          <w:i w:val="0"/>
          <w:sz w:val="28"/>
          <w:szCs w:val="21"/>
          <w:lang w:val="en-US" w:eastAsia="zh-CN"/>
        </w:rPr>
        <w:t>A</w:t>
      </w:r>
      <w:r>
        <w:rPr>
          <w:rFonts w:hint="eastAsia" w:eastAsia="宋体" w:cs="Times New Roman"/>
          <w:b w:val="0"/>
          <w:bCs/>
          <w:i w:val="0"/>
          <w:sz w:val="28"/>
          <w:szCs w:val="21"/>
          <w:lang w:val="en-US" w:eastAsia="zh-CN"/>
        </w:rPr>
        <w:t>、附录表</w:t>
      </w:r>
      <w:r>
        <w:rPr>
          <w:rFonts w:hint="default" w:ascii="Times New Roman" w:hAnsi="Times New Roman" w:eastAsia="宋体" w:cs="Times New Roman"/>
          <w:b w:val="0"/>
          <w:bCs/>
          <w:i w:val="0"/>
          <w:sz w:val="28"/>
          <w:szCs w:val="21"/>
          <w:lang w:val="en-US" w:eastAsia="zh-CN"/>
        </w:rPr>
        <w:t>B</w:t>
      </w:r>
      <w:r>
        <w:rPr>
          <w:rFonts w:hint="eastAsia" w:eastAsia="宋体" w:cs="Times New Roman"/>
          <w:b w:val="0"/>
          <w:bCs/>
          <w:i w:val="0"/>
          <w:sz w:val="28"/>
          <w:szCs w:val="21"/>
          <w:lang w:val="en-US" w:eastAsia="zh-CN"/>
        </w:rPr>
        <w:t>则分别针对</w:t>
      </w:r>
      <w:r>
        <w:rPr>
          <w:rFonts w:hint="eastAsia" w:ascii="Times New Roman" w:hAnsi="Times New Roman" w:eastAsia="宋体" w:cs="Times New Roman"/>
          <w:b w:val="0"/>
          <w:bCs w:val="0"/>
          <w:i w:val="0"/>
          <w:sz w:val="28"/>
          <w:szCs w:val="24"/>
          <w:lang w:val="en-US" w:eastAsia="zh-CN"/>
        </w:rPr>
        <w:t>再生</w:t>
      </w:r>
      <w:r>
        <w:rPr>
          <w:rFonts w:hint="eastAsia" w:eastAsia="宋体" w:cs="Times New Roman"/>
          <w:b w:val="0"/>
          <w:bCs/>
          <w:i w:val="0"/>
          <w:sz w:val="28"/>
          <w:szCs w:val="21"/>
          <w:lang w:val="en-US" w:eastAsia="zh-CN"/>
        </w:rPr>
        <w:t>水用户计量器具情况和再生水用户使用情况进行系统的记录和统计，此外，也反映了</w:t>
      </w:r>
      <w:r>
        <w:rPr>
          <w:rFonts w:hint="eastAsia" w:ascii="宋体" w:hAnsi="宋体" w:eastAsia="宋体" w:cs="宋体"/>
          <w:b w:val="0"/>
          <w:bCs/>
          <w:i w:val="0"/>
          <w:sz w:val="28"/>
          <w:szCs w:val="21"/>
        </w:rPr>
        <w:t>计量与统计制度、水质检测、计量器具配备管理三个方面</w:t>
      </w:r>
      <w:r>
        <w:rPr>
          <w:rFonts w:hint="eastAsia" w:ascii="宋体" w:hAnsi="宋体" w:eastAsia="宋体" w:cs="宋体"/>
          <w:b w:val="0"/>
          <w:bCs/>
          <w:i w:val="0"/>
          <w:sz w:val="28"/>
          <w:szCs w:val="21"/>
          <w:lang w:eastAsia="zh-CN"/>
        </w:rPr>
        <w:t>的情况</w:t>
      </w:r>
      <w:r>
        <w:rPr>
          <w:rFonts w:hint="eastAsia" w:ascii="宋体" w:hAnsi="宋体" w:eastAsia="宋体" w:cs="宋体"/>
          <w:b w:val="0"/>
          <w:bCs/>
          <w:i w:val="0"/>
          <w:sz w:val="28"/>
          <w:szCs w:val="21"/>
        </w:rPr>
        <w:t>。</w:t>
      </w:r>
    </w:p>
    <w:p w14:paraId="0825FBC3">
      <w:pPr>
        <w:pStyle w:val="9"/>
        <w:adjustRightInd w:val="0"/>
        <w:snapToGrid w:val="0"/>
        <w:spacing w:before="0" w:beforeLines="0" w:beforeAutospacing="0" w:after="0" w:afterLines="0" w:afterAutospacing="0" w:line="360" w:lineRule="auto"/>
        <w:ind w:firstLine="562" w:firstLineChars="200"/>
        <w:rPr>
          <w:rFonts w:hint="eastAsia" w:ascii="宋体" w:hAnsi="宋体" w:eastAsia="宋体" w:cs="宋体"/>
          <w:b w:val="0"/>
          <w:bCs/>
          <w:i w:val="0"/>
          <w:sz w:val="28"/>
          <w:szCs w:val="21"/>
        </w:rPr>
      </w:pPr>
      <w:r>
        <w:rPr>
          <w:rFonts w:hint="eastAsia" w:ascii="宋体" w:hAnsi="宋体" w:eastAsia="宋体" w:cs="宋体"/>
          <w:b/>
          <w:bCs/>
          <w:sz w:val="28"/>
          <w:szCs w:val="21"/>
        </w:rPr>
        <w:t>统计制度</w:t>
      </w:r>
      <w:r>
        <w:rPr>
          <w:rFonts w:hint="eastAsia" w:ascii="宋体" w:hAnsi="宋体" w:eastAsia="宋体" w:cs="宋体"/>
          <w:b w:val="0"/>
          <w:bCs/>
          <w:i w:val="0"/>
          <w:sz w:val="28"/>
          <w:szCs w:val="21"/>
        </w:rPr>
        <w:t>。</w:t>
      </w:r>
      <w:r>
        <w:rPr>
          <w:rFonts w:hint="eastAsia" w:ascii="宋体" w:hAnsi="宋体" w:eastAsia="宋体" w:cs="宋体"/>
          <w:b/>
          <w:bCs/>
          <w:sz w:val="28"/>
          <w:szCs w:val="21"/>
        </w:rPr>
        <w:t>一是</w:t>
      </w:r>
      <w:r>
        <w:rPr>
          <w:rFonts w:hint="eastAsia" w:ascii="宋体" w:hAnsi="宋体" w:eastAsia="宋体" w:cs="宋体"/>
          <w:b w:val="0"/>
          <w:bCs/>
          <w:i w:val="0"/>
          <w:sz w:val="28"/>
          <w:szCs w:val="21"/>
        </w:rPr>
        <w:t>再生水用户应建立实施再生水计量与统计管理制度，规范再生水计量与统计的岗位职责、工作程序、人员管理、再生水计量器具管理、数据记录和统计分析等具体内容。</w:t>
      </w:r>
      <w:r>
        <w:rPr>
          <w:rFonts w:hint="eastAsia" w:ascii="宋体" w:hAnsi="宋体" w:eastAsia="宋体" w:cs="宋体"/>
          <w:b/>
          <w:bCs/>
          <w:sz w:val="28"/>
          <w:szCs w:val="21"/>
        </w:rPr>
        <w:t>二是</w:t>
      </w:r>
      <w:r>
        <w:rPr>
          <w:rFonts w:hint="eastAsia" w:ascii="宋体" w:hAnsi="宋体" w:eastAsia="宋体" w:cs="宋体"/>
          <w:b w:val="0"/>
          <w:bCs/>
          <w:i w:val="0"/>
          <w:sz w:val="28"/>
          <w:szCs w:val="21"/>
        </w:rPr>
        <w:t>再生水用户应设立负责再生水</w:t>
      </w:r>
      <w:r>
        <w:rPr>
          <w:rFonts w:hint="eastAsia" w:ascii="Times New Roman" w:hAnsi="Times New Roman" w:eastAsia="宋体" w:cs="Times New Roman"/>
          <w:b w:val="0"/>
          <w:bCs w:val="0"/>
          <w:i w:val="0"/>
          <w:sz w:val="28"/>
          <w:szCs w:val="24"/>
        </w:rPr>
        <w:t>计量</w:t>
      </w:r>
      <w:r>
        <w:rPr>
          <w:rFonts w:hint="eastAsia" w:ascii="宋体" w:hAnsi="宋体" w:eastAsia="宋体" w:cs="宋体"/>
          <w:b w:val="0"/>
          <w:bCs/>
          <w:i w:val="0"/>
          <w:sz w:val="28"/>
          <w:szCs w:val="21"/>
        </w:rPr>
        <w:t>与统计的岗位，并配备具有相应能力的人员。</w:t>
      </w:r>
      <w:r>
        <w:rPr>
          <w:rFonts w:hint="eastAsia" w:ascii="宋体" w:hAnsi="宋体" w:eastAsia="宋体" w:cs="宋体"/>
          <w:b/>
          <w:bCs/>
          <w:sz w:val="28"/>
          <w:szCs w:val="21"/>
        </w:rPr>
        <w:t>三是</w:t>
      </w:r>
      <w:r>
        <w:rPr>
          <w:rFonts w:hint="eastAsia" w:ascii="宋体" w:hAnsi="宋体" w:eastAsia="宋体" w:cs="宋体"/>
          <w:b w:val="0"/>
          <w:bCs/>
          <w:i w:val="0"/>
          <w:sz w:val="28"/>
          <w:szCs w:val="21"/>
        </w:rPr>
        <w:t>再生水用户应按照有关规定要求和程序进行数据采集、记录、统计、分析和报送。再生水用户再生水计量器具台账和抄表记录见附件A，再生水用户用水统计见附表B。四是再生水用户应定期根据计量统计数据进行再生水利用规律及节水潜力分析。</w:t>
      </w:r>
    </w:p>
    <w:p w14:paraId="0879F7CB">
      <w:pPr>
        <w:pStyle w:val="9"/>
        <w:adjustRightInd w:val="0"/>
        <w:snapToGrid w:val="0"/>
        <w:spacing w:before="0" w:beforeLines="0" w:beforeAutospacing="0" w:after="0" w:afterLines="0" w:afterAutospacing="0" w:line="360" w:lineRule="auto"/>
        <w:ind w:firstLine="562" w:firstLineChars="200"/>
        <w:rPr>
          <w:rFonts w:hint="eastAsia" w:ascii="宋体" w:hAnsi="宋体" w:eastAsia="宋体" w:cs="宋体"/>
          <w:b w:val="0"/>
          <w:bCs/>
          <w:i w:val="0"/>
          <w:sz w:val="28"/>
          <w:szCs w:val="21"/>
        </w:rPr>
      </w:pPr>
      <w:r>
        <w:rPr>
          <w:rFonts w:hint="eastAsia" w:ascii="宋体" w:hAnsi="宋体" w:eastAsia="宋体" w:cs="宋体"/>
          <w:b/>
          <w:bCs/>
          <w:sz w:val="28"/>
          <w:szCs w:val="21"/>
        </w:rPr>
        <w:t>水质检测。</w:t>
      </w:r>
      <w:r>
        <w:rPr>
          <w:rFonts w:hint="eastAsia" w:ascii="宋体" w:hAnsi="宋体" w:eastAsia="宋体" w:cs="宋体"/>
          <w:b w:val="0"/>
          <w:bCs/>
          <w:i w:val="0"/>
          <w:sz w:val="28"/>
          <w:szCs w:val="21"/>
        </w:rPr>
        <w:t>定期开展水质检测，确保供水水质符合工业用水、城市杂用水、景观环境用水、绿地灌溉、农田灌溉等</w:t>
      </w:r>
      <w:r>
        <w:rPr>
          <w:rFonts w:hint="eastAsia" w:ascii="Times New Roman" w:hAnsi="Times New Roman" w:eastAsia="宋体" w:cs="Times New Roman"/>
          <w:b w:val="0"/>
          <w:bCs w:val="0"/>
          <w:i w:val="0"/>
          <w:sz w:val="28"/>
          <w:szCs w:val="24"/>
        </w:rPr>
        <w:t>相关</w:t>
      </w:r>
      <w:r>
        <w:rPr>
          <w:rFonts w:hint="eastAsia" w:ascii="宋体" w:hAnsi="宋体" w:eastAsia="宋体" w:cs="宋体"/>
          <w:b w:val="0"/>
          <w:bCs/>
          <w:i w:val="0"/>
          <w:sz w:val="28"/>
          <w:szCs w:val="21"/>
        </w:rPr>
        <w:t>用途的水质要求。应建立实时再生水计量、统计和分析信息平台。供水单位应定期开展水量监测与水质检测，并符合相关技术标准的要求。</w:t>
      </w:r>
    </w:p>
    <w:p w14:paraId="2F8261A4">
      <w:pPr>
        <w:pStyle w:val="9"/>
        <w:adjustRightInd w:val="0"/>
        <w:snapToGrid w:val="0"/>
        <w:spacing w:before="0" w:beforeLines="0" w:beforeAutospacing="0" w:after="0" w:afterLines="0" w:afterAutospacing="0" w:line="360" w:lineRule="auto"/>
        <w:ind w:firstLine="562" w:firstLineChars="200"/>
        <w:rPr>
          <w:rFonts w:ascii="Calibri" w:hAnsi="Calibri" w:eastAsia="仿宋_GB2312"/>
          <w:bCs/>
          <w:sz w:val="32"/>
          <w:szCs w:val="30"/>
        </w:rPr>
      </w:pPr>
      <w:r>
        <w:rPr>
          <w:rFonts w:hint="eastAsia" w:ascii="宋体" w:hAnsi="宋体" w:eastAsia="宋体" w:cs="宋体"/>
          <w:b/>
          <w:bCs/>
          <w:sz w:val="28"/>
          <w:szCs w:val="21"/>
        </w:rPr>
        <w:t>计量器具配备管理。一是</w:t>
      </w:r>
      <w:r>
        <w:rPr>
          <w:rFonts w:hint="eastAsia" w:ascii="宋体" w:hAnsi="宋体" w:eastAsia="宋体" w:cs="宋体"/>
          <w:b w:val="0"/>
          <w:bCs/>
          <w:i w:val="0"/>
          <w:sz w:val="28"/>
          <w:szCs w:val="21"/>
        </w:rPr>
        <w:t>应建立再生水计量器具档案，内容包括：再生水计量器具配置图、再生水计量器具使用说明书、再生水计量器具出厂合格证、再生水计量器具最近连续两个周期的检定（测试、校准）证书、再生水计量器具维修或更换记录、再生水计量器具其它相关信息。</w:t>
      </w:r>
      <w:r>
        <w:rPr>
          <w:rFonts w:hint="eastAsia" w:ascii="宋体" w:hAnsi="宋体" w:eastAsia="宋体" w:cs="宋体"/>
          <w:b/>
          <w:bCs/>
          <w:sz w:val="28"/>
          <w:szCs w:val="21"/>
        </w:rPr>
        <w:t>二是</w:t>
      </w:r>
      <w:r>
        <w:rPr>
          <w:rFonts w:hint="eastAsia" w:ascii="宋体" w:hAnsi="宋体" w:eastAsia="宋体" w:cs="宋体"/>
          <w:b w:val="0"/>
          <w:bCs/>
          <w:i w:val="0"/>
          <w:sz w:val="28"/>
          <w:szCs w:val="21"/>
        </w:rPr>
        <w:t>应建立</w:t>
      </w:r>
      <w:r>
        <w:rPr>
          <w:rFonts w:hint="eastAsia" w:ascii="Times New Roman" w:hAnsi="Times New Roman" w:eastAsia="宋体" w:cs="Times New Roman"/>
          <w:b w:val="0"/>
          <w:bCs w:val="0"/>
          <w:i w:val="0"/>
          <w:sz w:val="28"/>
          <w:szCs w:val="24"/>
        </w:rPr>
        <w:t>完整</w:t>
      </w:r>
      <w:r>
        <w:rPr>
          <w:rFonts w:hint="eastAsia" w:ascii="宋体" w:hAnsi="宋体" w:eastAsia="宋体" w:cs="宋体"/>
          <w:b w:val="0"/>
          <w:bCs/>
          <w:i w:val="0"/>
          <w:sz w:val="28"/>
          <w:szCs w:val="21"/>
        </w:rPr>
        <w:t>的分级水计量器具台账，包括再生水计量器具的名称、型号规格、准确度等级、测量范围、状态等项目，见附件A.1。</w:t>
      </w:r>
      <w:r>
        <w:rPr>
          <w:rFonts w:hint="eastAsia" w:ascii="宋体" w:hAnsi="宋体" w:eastAsia="宋体" w:cs="宋体"/>
          <w:b/>
          <w:bCs/>
          <w:sz w:val="28"/>
          <w:szCs w:val="21"/>
        </w:rPr>
        <w:t>三是</w:t>
      </w:r>
      <w:r>
        <w:rPr>
          <w:rFonts w:hint="eastAsia" w:ascii="宋体" w:hAnsi="宋体" w:eastAsia="宋体" w:cs="宋体"/>
          <w:b w:val="0"/>
          <w:bCs/>
          <w:i w:val="0"/>
          <w:sz w:val="28"/>
          <w:szCs w:val="21"/>
        </w:rPr>
        <w:t>应开展水计量器具量值溯源，其中作为再生水用户内部使用的企业计量标准，要明确规定其准确度等级、测量范围以及溯源的上一级计量标准。</w:t>
      </w:r>
      <w:r>
        <w:rPr>
          <w:rFonts w:hint="eastAsia" w:ascii="宋体" w:hAnsi="宋体" w:eastAsia="宋体" w:cs="宋体"/>
          <w:b/>
          <w:bCs/>
          <w:sz w:val="28"/>
          <w:szCs w:val="21"/>
        </w:rPr>
        <w:t>四是</w:t>
      </w:r>
      <w:r>
        <w:rPr>
          <w:rFonts w:hint="eastAsia" w:ascii="宋体" w:hAnsi="宋体" w:eastAsia="宋体" w:cs="宋体"/>
          <w:b w:val="0"/>
          <w:bCs/>
          <w:i w:val="0"/>
          <w:sz w:val="28"/>
          <w:szCs w:val="21"/>
        </w:rPr>
        <w:t>应在明显位置粘贴与计量器具一览表编号对应的标签，以备查验和管理。</w:t>
      </w:r>
      <w:r>
        <w:rPr>
          <w:rFonts w:hint="eastAsia" w:ascii="宋体" w:hAnsi="宋体" w:eastAsia="宋体" w:cs="宋体"/>
          <w:b/>
          <w:bCs/>
          <w:sz w:val="28"/>
          <w:szCs w:val="21"/>
        </w:rPr>
        <w:t>五是</w:t>
      </w:r>
      <w:r>
        <w:rPr>
          <w:rFonts w:hint="eastAsia" w:ascii="宋体" w:hAnsi="宋体" w:eastAsia="宋体" w:cs="宋体"/>
          <w:b w:val="0"/>
          <w:bCs/>
          <w:i w:val="0"/>
          <w:sz w:val="28"/>
          <w:szCs w:val="21"/>
        </w:rPr>
        <w:t>再生水计量器具，凡属于自行校准且自行确定校准间隔的，应有现行有效的受控文件（即自校准水计量器具的管理程序和自校规范）作为依据。</w:t>
      </w:r>
      <w:r>
        <w:rPr>
          <w:rFonts w:hint="eastAsia" w:ascii="宋体" w:hAnsi="宋体" w:eastAsia="宋体" w:cs="宋体"/>
          <w:b/>
          <w:bCs/>
          <w:sz w:val="28"/>
          <w:szCs w:val="21"/>
        </w:rPr>
        <w:t>六是</w:t>
      </w:r>
      <w:r>
        <w:rPr>
          <w:rFonts w:hint="eastAsia" w:ascii="宋体" w:hAnsi="宋体" w:eastAsia="宋体" w:cs="宋体"/>
          <w:b w:val="0"/>
          <w:bCs/>
          <w:i w:val="0"/>
          <w:sz w:val="28"/>
          <w:szCs w:val="21"/>
        </w:rPr>
        <w:t>再生水计量器具应实行定期检定（校准）。凡经检定（校准）不符合要求的或超过检定周期的水计量器具一律不准使用。属于强制检定的水计量器具，其检定周期、检定方式应遵守有关计量法规的规定。</w:t>
      </w:r>
      <w:r>
        <w:rPr>
          <w:rFonts w:hint="eastAsia" w:ascii="宋体" w:hAnsi="宋体" w:eastAsia="宋体" w:cs="宋体"/>
          <w:b/>
          <w:bCs/>
          <w:sz w:val="28"/>
          <w:szCs w:val="21"/>
        </w:rPr>
        <w:t>七是</w:t>
      </w:r>
      <w:r>
        <w:rPr>
          <w:rFonts w:hint="eastAsia" w:ascii="宋体" w:hAnsi="宋体" w:eastAsia="宋体" w:cs="宋体"/>
          <w:b w:val="0"/>
          <w:bCs/>
          <w:i w:val="0"/>
          <w:sz w:val="28"/>
          <w:szCs w:val="21"/>
        </w:rPr>
        <w:t>逐步建立以信息化自动采集传输为基础的再生水设施监测系统，提高再生水输配与生态补水过程中信息采集、传输、处理水平，提高再生水相关数据的精度和传输的时效性。再生水利用设施监测体系可纳入再生水智慧调度平台一体化实施，为调度平台提供实时监测数据。</w:t>
      </w:r>
      <w:r>
        <w:rPr>
          <w:rFonts w:hint="eastAsia" w:ascii="宋体" w:hAnsi="宋体" w:eastAsia="宋体" w:cs="宋体"/>
          <w:b/>
          <w:bCs/>
          <w:sz w:val="28"/>
          <w:szCs w:val="21"/>
        </w:rPr>
        <w:t>八是</w:t>
      </w:r>
      <w:r>
        <w:rPr>
          <w:rFonts w:hint="eastAsia" w:ascii="宋体" w:hAnsi="宋体" w:eastAsia="宋体" w:cs="宋体"/>
          <w:b w:val="0"/>
          <w:bCs/>
          <w:i w:val="0"/>
          <w:sz w:val="28"/>
          <w:szCs w:val="21"/>
        </w:rPr>
        <w:t>以宿迁市中心城区自然地理、干支流水系、污水处理厂、再生水厂、输配水管网、泵站、水量水质监测信息以及经济社会信息为主要内容，对物理实景进行全要素数字化映射。</w:t>
      </w:r>
    </w:p>
    <w:p w14:paraId="0C6A853F">
      <w:pPr>
        <w:pStyle w:val="2"/>
        <w:keepNext/>
        <w:keepLines/>
        <w:pageBreakBefore w:val="0"/>
        <w:widowControl w:val="0"/>
        <w:numPr>
          <w:ilvl w:val="0"/>
          <w:numId w:val="1"/>
        </w:numPr>
        <w:kinsoku/>
        <w:wordWrap/>
        <w:overflowPunct/>
        <w:topLinePunct w:val="0"/>
        <w:autoSpaceDE/>
        <w:autoSpaceDN/>
        <w:bidi w:val="0"/>
        <w:adjustRightInd/>
        <w:snapToGrid/>
        <w:spacing w:before="120" w:after="120" w:line="579" w:lineRule="auto"/>
        <w:ind w:left="641" w:leftChars="0" w:hanging="720" w:firstLineChars="0"/>
        <w:jc w:val="left"/>
        <w:textAlignment w:val="auto"/>
        <w:rPr>
          <w:sz w:val="32"/>
          <w:szCs w:val="32"/>
        </w:rPr>
      </w:pPr>
      <w:bookmarkStart w:id="28" w:name="_Toc2354"/>
      <w:r>
        <w:rPr>
          <w:sz w:val="32"/>
          <w:szCs w:val="32"/>
        </w:rPr>
        <w:t>采用国际标准的程度及水平的简要说明</w:t>
      </w:r>
      <w:bookmarkEnd w:id="28"/>
    </w:p>
    <w:p w14:paraId="637ECB68">
      <w:pPr>
        <w:pStyle w:val="15"/>
        <w:spacing w:line="360" w:lineRule="auto"/>
        <w:rPr>
          <w:rFonts w:hint="eastAsia" w:ascii="Times New Roman" w:hAnsi="Times New Roman" w:eastAsia="宋体" w:cs="Times New Roman"/>
          <w:b w:val="0"/>
          <w:i w:val="0"/>
          <w:kern w:val="0"/>
          <w:sz w:val="28"/>
          <w:szCs w:val="24"/>
          <w:lang w:val="en-US" w:eastAsia="zh-CN" w:bidi="ar-SA"/>
        </w:rPr>
      </w:pPr>
      <w:r>
        <w:rPr>
          <w:rFonts w:hint="eastAsia" w:ascii="Times New Roman" w:hAnsi="Times New Roman" w:eastAsia="宋体" w:cs="Times New Roman"/>
          <w:b w:val="0"/>
          <w:i w:val="0"/>
          <w:kern w:val="0"/>
          <w:sz w:val="28"/>
          <w:szCs w:val="24"/>
          <w:lang w:val="en-US" w:eastAsia="zh-CN" w:bidi="ar-SA"/>
        </w:rPr>
        <w:t>本标准未采用国际标准，在制定过程中未查到同类国际标准。</w:t>
      </w:r>
    </w:p>
    <w:p w14:paraId="4054AC59">
      <w:pPr>
        <w:pStyle w:val="15"/>
        <w:spacing w:line="360" w:lineRule="auto"/>
        <w:rPr>
          <w:rFonts w:hint="eastAsia" w:ascii="Times New Roman" w:hAnsi="Times New Roman" w:eastAsia="宋体" w:cs="Times New Roman"/>
          <w:b w:val="0"/>
          <w:i w:val="0"/>
          <w:kern w:val="0"/>
          <w:sz w:val="28"/>
          <w:szCs w:val="24"/>
          <w:lang w:val="en-US" w:eastAsia="zh-CN" w:bidi="ar-SA"/>
        </w:rPr>
      </w:pPr>
      <w:r>
        <w:rPr>
          <w:rFonts w:hint="eastAsia" w:ascii="Times New Roman" w:hAnsi="Times New Roman" w:eastAsia="宋体" w:cs="Times New Roman"/>
          <w:b w:val="0"/>
          <w:i w:val="0"/>
          <w:kern w:val="0"/>
          <w:sz w:val="28"/>
          <w:szCs w:val="24"/>
          <w:lang w:val="en-US" w:eastAsia="zh-CN" w:bidi="ar-SA"/>
        </w:rPr>
        <w:t>本标准的总体技术水平属于省内领先水平。</w:t>
      </w:r>
    </w:p>
    <w:p w14:paraId="009E12A4">
      <w:pPr>
        <w:pStyle w:val="2"/>
        <w:keepNext/>
        <w:keepLines/>
        <w:pageBreakBefore w:val="0"/>
        <w:widowControl w:val="0"/>
        <w:numPr>
          <w:ilvl w:val="0"/>
          <w:numId w:val="1"/>
        </w:numPr>
        <w:kinsoku/>
        <w:wordWrap/>
        <w:overflowPunct/>
        <w:topLinePunct w:val="0"/>
        <w:autoSpaceDE/>
        <w:autoSpaceDN/>
        <w:bidi w:val="0"/>
        <w:adjustRightInd/>
        <w:snapToGrid/>
        <w:spacing w:before="120" w:after="120" w:line="579" w:lineRule="auto"/>
        <w:ind w:left="641" w:leftChars="0" w:hanging="720" w:firstLineChars="0"/>
        <w:jc w:val="left"/>
        <w:textAlignment w:val="auto"/>
        <w:rPr>
          <w:sz w:val="32"/>
          <w:szCs w:val="32"/>
        </w:rPr>
      </w:pPr>
      <w:bookmarkStart w:id="29" w:name="_Toc3421"/>
      <w:r>
        <w:rPr>
          <w:sz w:val="32"/>
          <w:szCs w:val="32"/>
        </w:rPr>
        <w:t>重大分歧意见的处理经过和依据</w:t>
      </w:r>
      <w:bookmarkEnd w:id="29"/>
    </w:p>
    <w:p w14:paraId="74FC6B65">
      <w:pPr>
        <w:pStyle w:val="15"/>
        <w:spacing w:line="360" w:lineRule="auto"/>
        <w:rPr>
          <w:rFonts w:hint="eastAsia" w:ascii="Times New Roman" w:hAnsi="Times New Roman" w:eastAsia="宋体" w:cs="Times New Roman"/>
          <w:b w:val="0"/>
          <w:i w:val="0"/>
          <w:kern w:val="0"/>
          <w:sz w:val="28"/>
          <w:szCs w:val="24"/>
          <w:lang w:val="en-US" w:eastAsia="zh-CN" w:bidi="ar-SA"/>
        </w:rPr>
      </w:pPr>
      <w:r>
        <w:rPr>
          <w:rFonts w:hint="eastAsia" w:ascii="Times New Roman" w:hAnsi="Times New Roman" w:eastAsia="宋体" w:cs="Times New Roman"/>
          <w:b w:val="0"/>
          <w:i w:val="0"/>
          <w:kern w:val="0"/>
          <w:sz w:val="28"/>
          <w:szCs w:val="24"/>
          <w:lang w:val="en-US" w:eastAsia="zh-CN" w:bidi="ar-SA"/>
        </w:rPr>
        <w:t>无重大分歧意见。</w:t>
      </w:r>
    </w:p>
    <w:p w14:paraId="1AE1FF32">
      <w:pPr>
        <w:pStyle w:val="2"/>
        <w:keepNext/>
        <w:keepLines/>
        <w:pageBreakBefore w:val="0"/>
        <w:widowControl w:val="0"/>
        <w:numPr>
          <w:ilvl w:val="0"/>
          <w:numId w:val="1"/>
        </w:numPr>
        <w:kinsoku/>
        <w:wordWrap/>
        <w:overflowPunct/>
        <w:topLinePunct w:val="0"/>
        <w:autoSpaceDE/>
        <w:autoSpaceDN/>
        <w:bidi w:val="0"/>
        <w:adjustRightInd/>
        <w:snapToGrid/>
        <w:spacing w:before="120" w:after="120" w:line="579" w:lineRule="auto"/>
        <w:ind w:left="641" w:leftChars="0" w:hanging="720" w:firstLineChars="0"/>
        <w:jc w:val="left"/>
        <w:textAlignment w:val="auto"/>
        <w:rPr>
          <w:sz w:val="32"/>
          <w:szCs w:val="32"/>
        </w:rPr>
      </w:pPr>
      <w:bookmarkStart w:id="30" w:name="_Toc3975"/>
      <w:bookmarkStart w:id="31" w:name="_Toc324944694"/>
      <w:bookmarkStart w:id="32" w:name="_Toc324928496"/>
      <w:r>
        <w:rPr>
          <w:rFonts w:hint="eastAsia"/>
          <w:sz w:val="32"/>
          <w:szCs w:val="32"/>
        </w:rPr>
        <w:t>与有关的现行法律、法规和强制性国家标准的关系</w:t>
      </w:r>
      <w:bookmarkEnd w:id="30"/>
    </w:p>
    <w:p w14:paraId="3CE804DA">
      <w:pPr>
        <w:pStyle w:val="15"/>
        <w:spacing w:line="360" w:lineRule="auto"/>
        <w:rPr>
          <w:rFonts w:eastAsia="宋体"/>
          <w:b w:val="0"/>
          <w:i w:val="0"/>
          <w:color w:val="000000" w:themeColor="text1"/>
          <w:kern w:val="0"/>
          <w:sz w:val="28"/>
          <w14:textFill>
            <w14:solidFill>
              <w14:schemeClr w14:val="tx1"/>
            </w14:solidFill>
          </w14:textFill>
        </w:rPr>
      </w:pPr>
      <w:r>
        <w:rPr>
          <w:rFonts w:hint="eastAsia" w:eastAsia="宋体"/>
          <w:b w:val="0"/>
          <w:i w:val="0"/>
          <w:color w:val="000000" w:themeColor="text1"/>
          <w:kern w:val="0"/>
          <w:sz w:val="28"/>
          <w14:textFill>
            <w14:solidFill>
              <w14:schemeClr w14:val="tx1"/>
            </w14:solidFill>
          </w14:textFill>
        </w:rPr>
        <w:t>本标准与相关法律、法规、规章及相关标准协调一致，没有冲突。</w:t>
      </w:r>
    </w:p>
    <w:p w14:paraId="7D1E76D1">
      <w:pPr>
        <w:pStyle w:val="15"/>
        <w:spacing w:line="360" w:lineRule="auto"/>
        <w:rPr>
          <w:rFonts w:hint="eastAsia" w:ascii="Times New Roman" w:hAnsi="Times New Roman" w:eastAsia="宋体" w:cs="Times New Roman"/>
          <w:b w:val="0"/>
          <w:i w:val="0"/>
          <w:sz w:val="28"/>
          <w:highlight w:val="yellow"/>
          <w:lang w:eastAsia="zh-CN"/>
        </w:rPr>
      </w:pPr>
      <w:r>
        <w:rPr>
          <w:rFonts w:hint="eastAsia" w:eastAsia="宋体"/>
          <w:b w:val="0"/>
          <w:i w:val="0"/>
          <w:color w:val="000000" w:themeColor="text1"/>
          <w:kern w:val="0"/>
          <w:sz w:val="28"/>
          <w14:textFill>
            <w14:solidFill>
              <w14:schemeClr w14:val="tx1"/>
            </w14:solidFill>
          </w14:textFill>
        </w:rPr>
        <w:t>本标准贯彻执行《中华人民共和国统计法》《中华人民共和国水法》《中华人民共和国标准化法》《中华人民共和国计量法》《中华人民共和国环境保护法》《中华人民共和国计量法实施细则》规定；本技术规范符合本标准贯彻执行等国家法律法规和江苏省制定的相关文件要求；本标准的制定有利于推进《关于推进污水资源化利用的指导意见》（发改环资〔2021〕13号）《典型地区再生水利用配置试点方案》（水节约〔2021〕377号）《江苏省国家节水行动实施方案》、《江苏省节约用水条例》、《江苏省水资源管理条例》的贯彻实施</w:t>
      </w:r>
      <w:r>
        <w:rPr>
          <w:rFonts w:hint="eastAsia" w:eastAsia="宋体"/>
          <w:b w:val="0"/>
          <w:i w:val="0"/>
          <w:color w:val="000000" w:themeColor="text1"/>
          <w:kern w:val="0"/>
          <w:sz w:val="28"/>
          <w:lang w:eastAsia="zh-CN"/>
          <w14:textFill>
            <w14:solidFill>
              <w14:schemeClr w14:val="tx1"/>
            </w14:solidFill>
          </w14:textFill>
        </w:rPr>
        <w:t>。</w:t>
      </w:r>
    </w:p>
    <w:p w14:paraId="540FAB32">
      <w:pPr>
        <w:pStyle w:val="2"/>
        <w:keepNext/>
        <w:keepLines/>
        <w:pageBreakBefore w:val="0"/>
        <w:widowControl w:val="0"/>
        <w:numPr>
          <w:ilvl w:val="0"/>
          <w:numId w:val="1"/>
        </w:numPr>
        <w:kinsoku/>
        <w:wordWrap/>
        <w:overflowPunct/>
        <w:topLinePunct w:val="0"/>
        <w:autoSpaceDE/>
        <w:autoSpaceDN/>
        <w:bidi w:val="0"/>
        <w:adjustRightInd/>
        <w:snapToGrid/>
        <w:spacing w:before="120" w:after="120" w:line="579" w:lineRule="auto"/>
        <w:ind w:left="641" w:leftChars="0" w:hanging="720" w:firstLineChars="0"/>
        <w:jc w:val="left"/>
        <w:textAlignment w:val="auto"/>
        <w:rPr>
          <w:sz w:val="32"/>
          <w:szCs w:val="32"/>
        </w:rPr>
      </w:pPr>
      <w:bookmarkStart w:id="33" w:name="_Toc14710"/>
      <w:r>
        <w:rPr>
          <w:sz w:val="32"/>
          <w:szCs w:val="32"/>
        </w:rPr>
        <w:t>贯彻标准的要求和措施建议</w:t>
      </w:r>
      <w:bookmarkEnd w:id="31"/>
      <w:bookmarkEnd w:id="32"/>
      <w:bookmarkEnd w:id="33"/>
    </w:p>
    <w:p w14:paraId="1FFF6E6D">
      <w:pPr>
        <w:pStyle w:val="9"/>
        <w:spacing w:before="0" w:beforeAutospacing="0" w:after="0" w:afterAutospacing="0" w:line="360" w:lineRule="auto"/>
        <w:ind w:firstLine="560" w:firstLineChars="200"/>
        <w:jc w:val="both"/>
        <w:rPr>
          <w:rFonts w:ascii="Times New Roman" w:hAnsi="Times New Roman" w:eastAsia="宋体" w:cs="Times New Roman"/>
          <w:b w:val="0"/>
          <w:i w:val="0"/>
          <w:color w:val="000000" w:themeColor="text1"/>
          <w:sz w:val="28"/>
          <w:highlight w:val="yellow"/>
          <w14:textFill>
            <w14:solidFill>
              <w14:schemeClr w14:val="tx1"/>
            </w14:solidFill>
          </w14:textFill>
        </w:rPr>
      </w:pPr>
      <w:r>
        <w:rPr>
          <w:rFonts w:hint="eastAsia" w:ascii="Times New Roman" w:hAnsi="Times New Roman" w:eastAsia="宋体" w:cs="Times New Roman"/>
          <w:b w:val="0"/>
          <w:i w:val="0"/>
          <w:color w:val="000000" w:themeColor="text1"/>
          <w:kern w:val="0"/>
          <w:sz w:val="28"/>
          <w:szCs w:val="24"/>
          <w:lang w:val="en-US" w:eastAsia="zh-CN" w:bidi="ar-SA"/>
          <w14:textFill>
            <w14:solidFill>
              <w14:schemeClr w14:val="tx1"/>
            </w14:solidFill>
          </w14:textFill>
        </w:rPr>
        <w:t>鉴于本标准为推荐性地方标准，可引领市场及行业向更高要求发展，因此建议在实施过程中可在示范区先试行一段时间，根据试行情况反馈信息，不断修订完善，力争最终形成适用的技术规范，更好的满足江苏省灌区节水的需要。此外，随着经济发展和技术进步及实践经验的积累，根据节水管理的实际需要，标准内容应不断得到完善、拓展、深入和更新，以适应节水标准制修订工作的要求。因此本标准发布后，建议建立相关信息的反馈机制，适时解决标准应用中的问题，及时了解和总结宿迁市再生水利用配置工作新动向，推动标准的贯彻执行。</w:t>
      </w:r>
    </w:p>
    <w:p w14:paraId="6A7C8642">
      <w:pPr>
        <w:pStyle w:val="2"/>
        <w:keepNext/>
        <w:keepLines/>
        <w:pageBreakBefore w:val="0"/>
        <w:widowControl w:val="0"/>
        <w:numPr>
          <w:ilvl w:val="0"/>
          <w:numId w:val="1"/>
        </w:numPr>
        <w:kinsoku/>
        <w:wordWrap/>
        <w:overflowPunct/>
        <w:topLinePunct w:val="0"/>
        <w:autoSpaceDE/>
        <w:autoSpaceDN/>
        <w:bidi w:val="0"/>
        <w:adjustRightInd/>
        <w:snapToGrid/>
        <w:spacing w:before="120" w:after="120" w:line="579" w:lineRule="auto"/>
        <w:ind w:left="641" w:leftChars="0" w:hanging="720" w:firstLineChars="0"/>
        <w:jc w:val="left"/>
        <w:textAlignment w:val="auto"/>
        <w:rPr>
          <w:sz w:val="32"/>
          <w:szCs w:val="32"/>
        </w:rPr>
      </w:pPr>
      <w:bookmarkStart w:id="34" w:name="_Toc21785"/>
      <w:r>
        <w:rPr>
          <w:sz w:val="32"/>
          <w:szCs w:val="32"/>
        </w:rPr>
        <w:t>其它应予说明的事项</w:t>
      </w:r>
      <w:bookmarkEnd w:id="34"/>
    </w:p>
    <w:p w14:paraId="579750C7">
      <w:pPr>
        <w:pStyle w:val="15"/>
        <w:spacing w:before="156" w:beforeLines="50" w:after="156" w:afterLines="50" w:line="440" w:lineRule="exact"/>
        <w:rPr>
          <w:rFonts w:eastAsia="宋体"/>
          <w:b w:val="0"/>
          <w:i w:val="0"/>
          <w:color w:val="000000" w:themeColor="text1"/>
          <w:kern w:val="0"/>
          <w:sz w:val="28"/>
          <w14:textFill>
            <w14:solidFill>
              <w14:schemeClr w14:val="tx1"/>
            </w14:solidFill>
          </w14:textFill>
        </w:rPr>
      </w:pPr>
      <w:r>
        <w:rPr>
          <w:rFonts w:eastAsia="宋体"/>
          <w:b w:val="0"/>
          <w:i w:val="0"/>
          <w:color w:val="000000" w:themeColor="text1"/>
          <w:kern w:val="0"/>
          <w:sz w:val="28"/>
          <w14:textFill>
            <w14:solidFill>
              <w14:schemeClr w14:val="tx1"/>
            </w14:solidFill>
          </w14:textFill>
        </w:rPr>
        <w:t>无。</w:t>
      </w:r>
    </w:p>
    <w:p w14:paraId="060DBCC8">
      <w:pPr>
        <w:spacing w:line="360" w:lineRule="auto"/>
        <w:jc w:val="right"/>
        <w:rPr>
          <w:rFonts w:eastAsia="宋体"/>
          <w:b w:val="0"/>
          <w:i w:val="0"/>
          <w:kern w:val="0"/>
          <w:sz w:val="28"/>
        </w:rPr>
      </w:pPr>
      <w:r>
        <w:rPr>
          <w:rFonts w:eastAsia="宋体"/>
          <w:b w:val="0"/>
          <w:i w:val="0"/>
          <w:kern w:val="0"/>
          <w:sz w:val="28"/>
        </w:rPr>
        <w:t>《</w:t>
      </w:r>
      <w:r>
        <w:rPr>
          <w:rFonts w:hint="eastAsia" w:eastAsia="宋体"/>
          <w:b w:val="0"/>
          <w:i w:val="0"/>
          <w:sz w:val="28"/>
        </w:rPr>
        <w:t>再生水利用配置计量管理规范</w:t>
      </w:r>
      <w:r>
        <w:rPr>
          <w:rFonts w:eastAsia="宋体"/>
          <w:b w:val="0"/>
          <w:i w:val="0"/>
          <w:kern w:val="0"/>
          <w:sz w:val="28"/>
        </w:rPr>
        <w:t>》编制组</w:t>
      </w:r>
    </w:p>
    <w:p w14:paraId="052867C6">
      <w:pPr>
        <w:spacing w:line="360" w:lineRule="auto"/>
        <w:jc w:val="right"/>
        <w:rPr>
          <w:rFonts w:eastAsia="宋体"/>
          <w:b w:val="0"/>
          <w:i w:val="0"/>
          <w:sz w:val="28"/>
        </w:rPr>
      </w:pPr>
      <w:r>
        <w:rPr>
          <w:rFonts w:eastAsia="宋体"/>
          <w:b w:val="0"/>
          <w:i w:val="0"/>
          <w:kern w:val="0"/>
          <w:sz w:val="28"/>
        </w:rPr>
        <w:t>202</w:t>
      </w:r>
      <w:r>
        <w:rPr>
          <w:rFonts w:hint="eastAsia" w:eastAsia="宋体"/>
          <w:b w:val="0"/>
          <w:i w:val="0"/>
          <w:kern w:val="0"/>
          <w:sz w:val="28"/>
          <w:lang w:val="en-US" w:eastAsia="zh-CN"/>
        </w:rPr>
        <w:t>4</w:t>
      </w:r>
      <w:r>
        <w:rPr>
          <w:rFonts w:eastAsia="宋体"/>
          <w:b w:val="0"/>
          <w:i w:val="0"/>
          <w:kern w:val="0"/>
          <w:sz w:val="28"/>
        </w:rPr>
        <w:t>年</w:t>
      </w:r>
      <w:r>
        <w:rPr>
          <w:rFonts w:hint="eastAsia" w:eastAsia="宋体"/>
          <w:b w:val="0"/>
          <w:i w:val="0"/>
          <w:kern w:val="0"/>
          <w:sz w:val="28"/>
          <w:lang w:val="en-US" w:eastAsia="zh-CN"/>
        </w:rPr>
        <w:t>5</w:t>
      </w:r>
      <w:r>
        <w:rPr>
          <w:rFonts w:eastAsia="宋体"/>
          <w:b w:val="0"/>
          <w:i w:val="0"/>
          <w:kern w:val="0"/>
          <w:sz w:val="28"/>
        </w:rPr>
        <w:t>月</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834A0">
    <w:pPr>
      <w:pStyle w:val="6"/>
      <w:jc w:val="center"/>
    </w:pPr>
  </w:p>
  <w:p w14:paraId="3841151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7206401"/>
    </w:sdtPr>
    <w:sdtContent>
      <w:p w14:paraId="43A6EDB9">
        <w:pPr>
          <w:pStyle w:val="6"/>
          <w:jc w:val="center"/>
        </w:pPr>
        <w:r>
          <w:fldChar w:fldCharType="begin"/>
        </w:r>
        <w:r>
          <w:instrText xml:space="preserve">PAGE   \* MERGEFORMAT</w:instrText>
        </w:r>
        <w:r>
          <w:fldChar w:fldCharType="separate"/>
        </w:r>
        <w:r>
          <w:rPr>
            <w:lang w:val="zh-CN"/>
          </w:rPr>
          <w:t>8</w:t>
        </w:r>
        <w:r>
          <w:fldChar w:fldCharType="end"/>
        </w:r>
      </w:p>
    </w:sdtContent>
  </w:sdt>
  <w:p w14:paraId="7376FB59">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BC107E"/>
    <w:multiLevelType w:val="multilevel"/>
    <w:tmpl w:val="0DBC107E"/>
    <w:lvl w:ilvl="0" w:tentative="0">
      <w:start w:val="1"/>
      <w:numFmt w:val="decimal"/>
      <w:lvlText w:val="%1."/>
      <w:lvlJc w:val="left"/>
      <w:pPr>
        <w:ind w:left="360" w:hanging="360"/>
      </w:pPr>
      <w:rPr>
        <w:rFonts w:hint="default"/>
        <w:strike w:val="0"/>
      </w:rPr>
    </w:lvl>
    <w:lvl w:ilvl="1" w:tentative="0">
      <w:start w:val="1"/>
      <w:numFmt w:val="decimal"/>
      <w:isLgl/>
      <w:suff w:val="nothing"/>
      <w:lvlText w:val="%1.%2"/>
      <w:lvlJc w:val="left"/>
      <w:pPr>
        <w:ind w:left="780" w:hanging="42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800" w:hanging="720"/>
      </w:pPr>
      <w:rPr>
        <w:rFonts w:hint="default"/>
      </w:rPr>
    </w:lvl>
    <w:lvl w:ilvl="4" w:tentative="0">
      <w:start w:val="1"/>
      <w:numFmt w:val="decimal"/>
      <w:isLgl/>
      <w:lvlText w:val="%1.%2.%3.%4.%5"/>
      <w:lvlJc w:val="left"/>
      <w:pPr>
        <w:ind w:left="2520" w:hanging="1080"/>
      </w:pPr>
      <w:rPr>
        <w:rFonts w:hint="default"/>
      </w:rPr>
    </w:lvl>
    <w:lvl w:ilvl="5" w:tentative="0">
      <w:start w:val="1"/>
      <w:numFmt w:val="decimal"/>
      <w:isLgl/>
      <w:lvlText w:val="%1.%2.%3.%4.%5.%6"/>
      <w:lvlJc w:val="left"/>
      <w:pPr>
        <w:ind w:left="2880" w:hanging="1080"/>
      </w:pPr>
      <w:rPr>
        <w:rFonts w:hint="default"/>
      </w:rPr>
    </w:lvl>
    <w:lvl w:ilvl="6" w:tentative="0">
      <w:start w:val="1"/>
      <w:numFmt w:val="decimal"/>
      <w:isLgl/>
      <w:lvlText w:val="%1.%2.%3.%4.%5.%6.%7"/>
      <w:lvlJc w:val="left"/>
      <w:pPr>
        <w:ind w:left="3600" w:hanging="1440"/>
      </w:pPr>
      <w:rPr>
        <w:rFonts w:hint="default"/>
      </w:rPr>
    </w:lvl>
    <w:lvl w:ilvl="7" w:tentative="0">
      <w:start w:val="1"/>
      <w:numFmt w:val="decimal"/>
      <w:isLgl/>
      <w:lvlText w:val="%1.%2.%3.%4.%5.%6.%7.%8"/>
      <w:lvlJc w:val="left"/>
      <w:pPr>
        <w:ind w:left="3960" w:hanging="1440"/>
      </w:pPr>
      <w:rPr>
        <w:rFonts w:hint="default"/>
      </w:rPr>
    </w:lvl>
    <w:lvl w:ilvl="8" w:tentative="0">
      <w:start w:val="1"/>
      <w:numFmt w:val="decimal"/>
      <w:isLgl/>
      <w:lvlText w:val="%1.%2.%3.%4.%5.%6.%7.%8.%9"/>
      <w:lvlJc w:val="left"/>
      <w:pPr>
        <w:ind w:left="4680" w:hanging="1800"/>
      </w:pPr>
      <w:rPr>
        <w:rFonts w:hint="default"/>
      </w:rPr>
    </w:lvl>
  </w:abstractNum>
  <w:abstractNum w:abstractNumId="1">
    <w:nsid w:val="47895002"/>
    <w:multiLevelType w:val="multilevel"/>
    <w:tmpl w:val="47895002"/>
    <w:lvl w:ilvl="0" w:tentative="0">
      <w:start w:val="2"/>
      <w:numFmt w:val="decimal"/>
      <w:lvlText w:val="%1."/>
      <w:lvlJc w:val="left"/>
      <w:pPr>
        <w:tabs>
          <w:tab w:val="left" w:pos="420"/>
        </w:tabs>
        <w:ind w:left="360" w:hanging="360"/>
      </w:pPr>
      <w:rPr>
        <w:rFonts w:hint="default"/>
        <w:strike w:val="0"/>
      </w:rPr>
    </w:lvl>
    <w:lvl w:ilvl="1" w:tentative="0">
      <w:start w:val="1"/>
      <w:numFmt w:val="decimal"/>
      <w:isLgl/>
      <w:suff w:val="nothing"/>
      <w:lvlText w:val="%1.%2"/>
      <w:lvlJc w:val="left"/>
      <w:pPr>
        <w:tabs>
          <w:tab w:val="left" w:pos="0"/>
        </w:tabs>
        <w:ind w:left="780" w:hanging="42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800" w:hanging="720"/>
      </w:pPr>
      <w:rPr>
        <w:rFonts w:hint="default"/>
      </w:rPr>
    </w:lvl>
    <w:lvl w:ilvl="4" w:tentative="0">
      <w:start w:val="1"/>
      <w:numFmt w:val="decimal"/>
      <w:isLgl/>
      <w:lvlText w:val="%1.%2.%3.%4.%5"/>
      <w:lvlJc w:val="left"/>
      <w:pPr>
        <w:ind w:left="2520" w:hanging="1080"/>
      </w:pPr>
      <w:rPr>
        <w:rFonts w:hint="default"/>
      </w:rPr>
    </w:lvl>
    <w:lvl w:ilvl="5" w:tentative="0">
      <w:start w:val="1"/>
      <w:numFmt w:val="decimal"/>
      <w:isLgl/>
      <w:lvlText w:val="%1.%2.%3.%4.%5.%6"/>
      <w:lvlJc w:val="left"/>
      <w:pPr>
        <w:ind w:left="2880" w:hanging="1080"/>
      </w:pPr>
      <w:rPr>
        <w:rFonts w:hint="default"/>
      </w:rPr>
    </w:lvl>
    <w:lvl w:ilvl="6" w:tentative="0">
      <w:start w:val="1"/>
      <w:numFmt w:val="decimal"/>
      <w:isLgl/>
      <w:lvlText w:val="%1.%2.%3.%4.%5.%6.%7"/>
      <w:lvlJc w:val="left"/>
      <w:pPr>
        <w:ind w:left="3600" w:hanging="1440"/>
      </w:pPr>
      <w:rPr>
        <w:rFonts w:hint="default"/>
      </w:rPr>
    </w:lvl>
    <w:lvl w:ilvl="7" w:tentative="0">
      <w:start w:val="1"/>
      <w:numFmt w:val="decimal"/>
      <w:isLgl/>
      <w:lvlText w:val="%1.%2.%3.%4.%5.%6.%7.%8"/>
      <w:lvlJc w:val="left"/>
      <w:pPr>
        <w:ind w:left="3960" w:hanging="1440"/>
      </w:pPr>
      <w:rPr>
        <w:rFonts w:hint="default"/>
      </w:rPr>
    </w:lvl>
    <w:lvl w:ilvl="8" w:tentative="0">
      <w:start w:val="1"/>
      <w:numFmt w:val="decimal"/>
      <w:isLgl/>
      <w:lvlText w:val="%1.%2.%3.%4.%5.%6.%7.%8.%9"/>
      <w:lvlJc w:val="left"/>
      <w:pPr>
        <w:ind w:left="4680" w:hanging="1800"/>
      </w:pPr>
      <w:rPr>
        <w:rFonts w:hint="default"/>
      </w:rPr>
    </w:lvl>
  </w:abstractNum>
  <w:abstractNum w:abstractNumId="2">
    <w:nsid w:val="5334961C"/>
    <w:multiLevelType w:val="multilevel"/>
    <w:tmpl w:val="5334961C"/>
    <w:lvl w:ilvl="0" w:tentative="0">
      <w:start w:val="1"/>
      <w:numFmt w:val="japaneseCounting"/>
      <w:suff w:val="nothing"/>
      <w:lvlText w:val="%1、"/>
      <w:lvlJc w:val="left"/>
      <w:pPr>
        <w:ind w:left="1280" w:hanging="720"/>
      </w:pPr>
      <w:rPr>
        <w:rFonts w:hint="eastAsia"/>
        <w:b/>
      </w:rPr>
    </w:lvl>
    <w:lvl w:ilvl="1" w:tentative="0">
      <w:start w:val="1"/>
      <w:numFmt w:val="lowerLetter"/>
      <w:lvlText w:val="%2)"/>
      <w:lvlJc w:val="left"/>
      <w:pPr>
        <w:ind w:left="1400" w:hanging="420"/>
      </w:pPr>
      <w:rPr>
        <w:rFonts w:hint="eastAsia"/>
      </w:rPr>
    </w:lvl>
    <w:lvl w:ilvl="2" w:tentative="0">
      <w:start w:val="1"/>
      <w:numFmt w:val="lowerRoman"/>
      <w:lvlText w:val="%3."/>
      <w:lvlJc w:val="right"/>
      <w:pPr>
        <w:ind w:left="1820" w:hanging="420"/>
      </w:pPr>
      <w:rPr>
        <w:rFonts w:hint="eastAsia"/>
      </w:rPr>
    </w:lvl>
    <w:lvl w:ilvl="3" w:tentative="0">
      <w:start w:val="1"/>
      <w:numFmt w:val="decimal"/>
      <w:lvlText w:val="%4."/>
      <w:lvlJc w:val="left"/>
      <w:pPr>
        <w:ind w:left="2240" w:hanging="420"/>
      </w:pPr>
      <w:rPr>
        <w:rFonts w:hint="eastAsia"/>
      </w:rPr>
    </w:lvl>
    <w:lvl w:ilvl="4" w:tentative="0">
      <w:start w:val="1"/>
      <w:numFmt w:val="lowerLetter"/>
      <w:lvlText w:val="%5)"/>
      <w:lvlJc w:val="left"/>
      <w:pPr>
        <w:ind w:left="2660" w:hanging="420"/>
      </w:pPr>
      <w:rPr>
        <w:rFonts w:hint="eastAsia"/>
      </w:rPr>
    </w:lvl>
    <w:lvl w:ilvl="5" w:tentative="0">
      <w:start w:val="1"/>
      <w:numFmt w:val="lowerRoman"/>
      <w:lvlText w:val="%6."/>
      <w:lvlJc w:val="right"/>
      <w:pPr>
        <w:ind w:left="3080" w:hanging="420"/>
      </w:pPr>
      <w:rPr>
        <w:rFonts w:hint="eastAsia"/>
      </w:rPr>
    </w:lvl>
    <w:lvl w:ilvl="6" w:tentative="0">
      <w:start w:val="1"/>
      <w:numFmt w:val="decimal"/>
      <w:lvlText w:val="%7."/>
      <w:lvlJc w:val="left"/>
      <w:pPr>
        <w:ind w:left="3500" w:hanging="420"/>
      </w:pPr>
      <w:rPr>
        <w:rFonts w:hint="eastAsia"/>
      </w:rPr>
    </w:lvl>
    <w:lvl w:ilvl="7" w:tentative="0">
      <w:start w:val="1"/>
      <w:numFmt w:val="lowerLetter"/>
      <w:lvlText w:val="%8)"/>
      <w:lvlJc w:val="left"/>
      <w:pPr>
        <w:ind w:left="3920" w:hanging="420"/>
      </w:pPr>
      <w:rPr>
        <w:rFonts w:hint="eastAsia"/>
      </w:rPr>
    </w:lvl>
    <w:lvl w:ilvl="8" w:tentative="0">
      <w:start w:val="1"/>
      <w:numFmt w:val="lowerRoman"/>
      <w:lvlText w:val="%9."/>
      <w:lvlJc w:val="right"/>
      <w:pPr>
        <w:ind w:left="434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NmQxMWU5YmU2ZWFjYTJhMTQ2OTBiNmYzMjM4ZmUifQ=="/>
  </w:docVars>
  <w:rsids>
    <w:rsidRoot w:val="00000000"/>
    <w:rsid w:val="00E85CF7"/>
    <w:rsid w:val="022E6409"/>
    <w:rsid w:val="03161912"/>
    <w:rsid w:val="04730898"/>
    <w:rsid w:val="086D36CD"/>
    <w:rsid w:val="0B3F3282"/>
    <w:rsid w:val="0EB277B5"/>
    <w:rsid w:val="11CE6AF3"/>
    <w:rsid w:val="129739A4"/>
    <w:rsid w:val="16094541"/>
    <w:rsid w:val="185826F7"/>
    <w:rsid w:val="1A967660"/>
    <w:rsid w:val="1AA67A69"/>
    <w:rsid w:val="1AF84718"/>
    <w:rsid w:val="1BAD7874"/>
    <w:rsid w:val="1BE567A3"/>
    <w:rsid w:val="1CCE4466"/>
    <w:rsid w:val="1E9438EF"/>
    <w:rsid w:val="1EF22F8F"/>
    <w:rsid w:val="1FD52103"/>
    <w:rsid w:val="226A4BFA"/>
    <w:rsid w:val="24C42510"/>
    <w:rsid w:val="28C77761"/>
    <w:rsid w:val="2A3074FB"/>
    <w:rsid w:val="2A6428AE"/>
    <w:rsid w:val="2AFB2A6E"/>
    <w:rsid w:val="2FE074BE"/>
    <w:rsid w:val="30527FB2"/>
    <w:rsid w:val="314870E2"/>
    <w:rsid w:val="36054F45"/>
    <w:rsid w:val="36160F00"/>
    <w:rsid w:val="36462873"/>
    <w:rsid w:val="37CC6CEC"/>
    <w:rsid w:val="39EB031A"/>
    <w:rsid w:val="3A6265D0"/>
    <w:rsid w:val="3A811AE1"/>
    <w:rsid w:val="3CD038CA"/>
    <w:rsid w:val="420A5B11"/>
    <w:rsid w:val="42F75C15"/>
    <w:rsid w:val="4336788C"/>
    <w:rsid w:val="437F498F"/>
    <w:rsid w:val="45F62E9D"/>
    <w:rsid w:val="48A71DE3"/>
    <w:rsid w:val="498D3BDC"/>
    <w:rsid w:val="4DDF7E9B"/>
    <w:rsid w:val="4EAF55F6"/>
    <w:rsid w:val="51316796"/>
    <w:rsid w:val="51ED4708"/>
    <w:rsid w:val="560222CE"/>
    <w:rsid w:val="579B0E0D"/>
    <w:rsid w:val="588E3ECA"/>
    <w:rsid w:val="58F73A01"/>
    <w:rsid w:val="5D39194E"/>
    <w:rsid w:val="5EAE3878"/>
    <w:rsid w:val="5F3250EB"/>
    <w:rsid w:val="61BB6DE7"/>
    <w:rsid w:val="664541C5"/>
    <w:rsid w:val="668808BF"/>
    <w:rsid w:val="66892E15"/>
    <w:rsid w:val="6B303A67"/>
    <w:rsid w:val="6D906E43"/>
    <w:rsid w:val="6DC955E5"/>
    <w:rsid w:val="6E9611E9"/>
    <w:rsid w:val="6F534719"/>
    <w:rsid w:val="6F98353C"/>
    <w:rsid w:val="70A73FF8"/>
    <w:rsid w:val="75923407"/>
    <w:rsid w:val="75BD00DD"/>
    <w:rsid w:val="75E94AD5"/>
    <w:rsid w:val="78145013"/>
    <w:rsid w:val="7C5D327E"/>
    <w:rsid w:val="7F464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toc 1"/>
    <w:basedOn w:val="1"/>
    <w:next w:val="1"/>
    <w:autoRedefine/>
    <w:qFormat/>
    <w:uiPriority w:val="39"/>
    <w:pPr>
      <w:spacing w:before="120" w:after="120"/>
      <w:jc w:val="left"/>
    </w:pPr>
    <w:rPr>
      <w:rFonts w:ascii="等线" w:eastAsia="等线"/>
      <w:b/>
      <w:bCs/>
      <w:caps/>
      <w:sz w:val="20"/>
      <w:szCs w:val="20"/>
    </w:rPr>
  </w:style>
  <w:style w:type="paragraph" w:styleId="8">
    <w:name w:val="toc 2"/>
    <w:basedOn w:val="1"/>
    <w:next w:val="1"/>
    <w:autoRedefine/>
    <w:unhideWhenUsed/>
    <w:qFormat/>
    <w:uiPriority w:val="39"/>
    <w:pPr>
      <w:ind w:left="420" w:leftChars="200"/>
    </w:p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autoRedefine/>
    <w:unhideWhenUsed/>
    <w:qFormat/>
    <w:uiPriority w:val="99"/>
    <w:rPr>
      <w:color w:val="0026E5" w:themeColor="hyperlink"/>
      <w:u w:val="single"/>
      <w14:textFill>
        <w14:solidFill>
          <w14:schemeClr w14:val="hlink"/>
        </w14:solidFill>
      </w14:textFill>
    </w:rPr>
  </w:style>
  <w:style w:type="paragraph" w:customStyle="1" w:styleId="14">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paragraph" w:styleId="15">
    <w:name w:val="List Paragraph"/>
    <w:basedOn w:val="1"/>
    <w:autoRedefine/>
    <w:qFormat/>
    <w:uiPriority w:val="34"/>
    <w:pPr>
      <w:ind w:firstLine="420" w:firstLineChars="200"/>
    </w:pPr>
  </w:style>
  <w:style w:type="paragraph" w:customStyle="1" w:styleId="16">
    <w:name w:val="段"/>
    <w:autoRedefine/>
    <w:qFormat/>
    <w:uiPriority w:val="0"/>
    <w:pPr>
      <w:tabs>
        <w:tab w:val="center" w:pos="4201"/>
        <w:tab w:val="right" w:leader="dot" w:pos="9298"/>
      </w:tabs>
      <w:autoSpaceDE w:val="0"/>
      <w:autoSpaceDN w:val="0"/>
      <w:ind w:firstLine="420" w:firstLineChars="200"/>
      <w:jc w:val="both"/>
    </w:pPr>
    <w:rPr>
      <w:rFonts w:ascii="宋体" w:eastAsia="宋体" w:cs="宋体" w:hAnsiTheme="minorHAnsi"/>
      <w:kern w:val="2"/>
      <w:sz w:val="21"/>
      <w:szCs w:val="21"/>
      <w:lang w:val="en-US" w:eastAsia="zh-CN" w:bidi="ar-SA"/>
    </w:rPr>
  </w:style>
  <w:style w:type="character" w:customStyle="1" w:styleId="17">
    <w:name w:val="fontstyle01"/>
    <w:autoRedefine/>
    <w:qFormat/>
    <w:uiPriority w:val="0"/>
    <w:rPr>
      <w:rFonts w:hint="eastAsia" w:ascii="华文仿宋" w:hAnsi="华文仿宋" w:eastAsia="华文仿宋"/>
      <w:color w:val="00000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6376</Words>
  <Characters>6530</Characters>
  <Lines>0</Lines>
  <Paragraphs>0</Paragraphs>
  <TotalTime>0</TotalTime>
  <ScaleCrop>false</ScaleCrop>
  <LinksUpToDate>false</LinksUpToDate>
  <CharactersWithSpaces>6637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2024-03-18T05:36:00Z</dcterms:created>
  <dc:creator>Administrator</dc:creator>
  <cp:lastModifiedBy>众生平等</cp:lastModifiedBy>
  <dcterms:modified xsi:type="dcterms:W3CDTF">2024-10-31T01:42:32Z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FD942AFFB1FB49078C3B657E5C43C90E_13</vt:lpwstr>
  </property>
</Properties>
</file>